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F1F56" w14:textId="77777777" w:rsidR="004B0CD2" w:rsidRPr="0041354D" w:rsidRDefault="004B0CD2" w:rsidP="005859C5">
      <w:pPr>
        <w:jc w:val="center"/>
        <w:rPr>
          <w:rFonts w:cs="Times New Roman"/>
          <w:szCs w:val="24"/>
        </w:rPr>
      </w:pPr>
    </w:p>
    <w:p w14:paraId="239BD857" w14:textId="77777777" w:rsidR="004B0CD2" w:rsidRPr="0041354D" w:rsidRDefault="004B0CD2" w:rsidP="005859C5">
      <w:pPr>
        <w:jc w:val="center"/>
        <w:rPr>
          <w:rFonts w:cs="Times New Roman"/>
          <w:szCs w:val="24"/>
        </w:rPr>
      </w:pPr>
    </w:p>
    <w:p w14:paraId="73883E90" w14:textId="77777777" w:rsidR="004B0CD2" w:rsidRPr="0041354D" w:rsidRDefault="004B0CD2" w:rsidP="005859C5">
      <w:pPr>
        <w:jc w:val="center"/>
        <w:rPr>
          <w:rFonts w:cs="Times New Roman"/>
          <w:szCs w:val="24"/>
        </w:rPr>
      </w:pPr>
    </w:p>
    <w:p w14:paraId="0BE16109" w14:textId="77777777" w:rsidR="004B0CD2" w:rsidRPr="0041354D" w:rsidRDefault="004B0CD2" w:rsidP="005859C5">
      <w:pPr>
        <w:jc w:val="center"/>
        <w:rPr>
          <w:rFonts w:cs="Times New Roman"/>
          <w:szCs w:val="24"/>
        </w:rPr>
      </w:pPr>
    </w:p>
    <w:p w14:paraId="36A3CA8A" w14:textId="07456286" w:rsidR="008240FA" w:rsidRPr="0041354D" w:rsidRDefault="005859C5" w:rsidP="005859C5">
      <w:pPr>
        <w:jc w:val="center"/>
        <w:rPr>
          <w:rFonts w:cs="Times New Roman"/>
          <w:b/>
          <w:bCs/>
          <w:szCs w:val="24"/>
        </w:rPr>
      </w:pPr>
      <w:r w:rsidRPr="0041354D">
        <w:rPr>
          <w:rFonts w:cs="Times New Roman"/>
          <w:b/>
          <w:bCs/>
          <w:szCs w:val="24"/>
        </w:rPr>
        <w:t>Psychology</w:t>
      </w:r>
      <w:r w:rsidR="004B0CD2" w:rsidRPr="0041354D">
        <w:rPr>
          <w:rFonts w:cs="Times New Roman"/>
          <w:b/>
          <w:bCs/>
          <w:szCs w:val="24"/>
        </w:rPr>
        <w:t xml:space="preserve"> Exam</w:t>
      </w:r>
    </w:p>
    <w:p w14:paraId="7D5133F2" w14:textId="231AA525" w:rsidR="005859C5" w:rsidRPr="0041354D" w:rsidRDefault="004B0CD2" w:rsidP="005859C5">
      <w:pPr>
        <w:jc w:val="center"/>
        <w:rPr>
          <w:rFonts w:cs="Times New Roman"/>
          <w:szCs w:val="24"/>
        </w:rPr>
      </w:pPr>
      <w:r w:rsidRPr="0041354D">
        <w:rPr>
          <w:rFonts w:cs="Times New Roman"/>
          <w:szCs w:val="24"/>
        </w:rPr>
        <w:t xml:space="preserve"> Students </w:t>
      </w:r>
      <w:r w:rsidR="005859C5" w:rsidRPr="0041354D">
        <w:rPr>
          <w:rFonts w:cs="Times New Roman"/>
          <w:szCs w:val="24"/>
        </w:rPr>
        <w:t>Name</w:t>
      </w:r>
    </w:p>
    <w:p w14:paraId="3F2AB917" w14:textId="355A1D1C" w:rsidR="005859C5" w:rsidRPr="0041354D" w:rsidRDefault="005859C5" w:rsidP="005859C5">
      <w:pPr>
        <w:jc w:val="center"/>
        <w:rPr>
          <w:rFonts w:cs="Times New Roman"/>
          <w:szCs w:val="24"/>
        </w:rPr>
      </w:pPr>
      <w:r w:rsidRPr="0041354D">
        <w:rPr>
          <w:rFonts w:cs="Times New Roman"/>
          <w:szCs w:val="24"/>
        </w:rPr>
        <w:t xml:space="preserve">Institution </w:t>
      </w:r>
      <w:r w:rsidR="004B0CD2" w:rsidRPr="0041354D">
        <w:rPr>
          <w:rFonts w:cs="Times New Roman"/>
          <w:szCs w:val="24"/>
        </w:rPr>
        <w:t>Affiliation</w:t>
      </w:r>
    </w:p>
    <w:p w14:paraId="5D1B795C" w14:textId="546D7C46" w:rsidR="004B0CD2" w:rsidRPr="0041354D" w:rsidRDefault="004B0CD2" w:rsidP="005859C5">
      <w:pPr>
        <w:jc w:val="center"/>
        <w:rPr>
          <w:rFonts w:cs="Times New Roman"/>
          <w:szCs w:val="24"/>
        </w:rPr>
      </w:pPr>
      <w:r w:rsidRPr="0041354D">
        <w:rPr>
          <w:rFonts w:cs="Times New Roman"/>
          <w:szCs w:val="24"/>
        </w:rPr>
        <w:t>Course Code</w:t>
      </w:r>
    </w:p>
    <w:p w14:paraId="416E01D8" w14:textId="27103F53" w:rsidR="004B0CD2" w:rsidRPr="0041354D" w:rsidRDefault="004B0CD2" w:rsidP="005859C5">
      <w:pPr>
        <w:jc w:val="center"/>
        <w:rPr>
          <w:rFonts w:cs="Times New Roman"/>
          <w:szCs w:val="24"/>
        </w:rPr>
      </w:pPr>
      <w:r w:rsidRPr="0041354D">
        <w:rPr>
          <w:rFonts w:cs="Times New Roman"/>
          <w:szCs w:val="24"/>
        </w:rPr>
        <w:t>Date</w:t>
      </w:r>
    </w:p>
    <w:p w14:paraId="7E737947" w14:textId="2F008FC8" w:rsidR="005859C5" w:rsidRPr="0041354D" w:rsidRDefault="005859C5" w:rsidP="005859C5">
      <w:pPr>
        <w:jc w:val="center"/>
        <w:rPr>
          <w:rFonts w:cs="Times New Roman"/>
          <w:szCs w:val="24"/>
        </w:rPr>
      </w:pPr>
    </w:p>
    <w:p w14:paraId="4398B037" w14:textId="53AD0F89" w:rsidR="005859C5" w:rsidRPr="0041354D" w:rsidRDefault="005859C5" w:rsidP="005859C5">
      <w:pPr>
        <w:jc w:val="center"/>
        <w:rPr>
          <w:rFonts w:cs="Times New Roman"/>
          <w:szCs w:val="24"/>
        </w:rPr>
      </w:pPr>
    </w:p>
    <w:p w14:paraId="3139E7A4" w14:textId="1578557F" w:rsidR="005859C5" w:rsidRPr="0041354D" w:rsidRDefault="005859C5" w:rsidP="005859C5">
      <w:pPr>
        <w:jc w:val="center"/>
        <w:rPr>
          <w:rFonts w:cs="Times New Roman"/>
          <w:szCs w:val="24"/>
        </w:rPr>
      </w:pPr>
    </w:p>
    <w:p w14:paraId="4474B796" w14:textId="4CB3D626" w:rsidR="005859C5" w:rsidRPr="0041354D" w:rsidRDefault="005859C5" w:rsidP="005859C5">
      <w:pPr>
        <w:jc w:val="center"/>
        <w:rPr>
          <w:rFonts w:cs="Times New Roman"/>
          <w:szCs w:val="24"/>
        </w:rPr>
      </w:pPr>
    </w:p>
    <w:p w14:paraId="2A2B55C9" w14:textId="5B86BBA9" w:rsidR="005859C5" w:rsidRPr="0041354D" w:rsidRDefault="005859C5" w:rsidP="005859C5">
      <w:pPr>
        <w:jc w:val="center"/>
        <w:rPr>
          <w:rFonts w:cs="Times New Roman"/>
          <w:szCs w:val="24"/>
        </w:rPr>
      </w:pPr>
    </w:p>
    <w:p w14:paraId="5ADA32B6" w14:textId="7FD854AB" w:rsidR="005859C5" w:rsidRPr="0041354D" w:rsidRDefault="005859C5" w:rsidP="005859C5">
      <w:pPr>
        <w:jc w:val="center"/>
        <w:rPr>
          <w:rFonts w:cs="Times New Roman"/>
          <w:szCs w:val="24"/>
        </w:rPr>
      </w:pPr>
    </w:p>
    <w:p w14:paraId="29351B2F" w14:textId="7560A5AD" w:rsidR="005859C5" w:rsidRPr="0041354D" w:rsidRDefault="005859C5" w:rsidP="005859C5">
      <w:pPr>
        <w:jc w:val="center"/>
        <w:rPr>
          <w:rFonts w:cs="Times New Roman"/>
          <w:szCs w:val="24"/>
        </w:rPr>
      </w:pPr>
    </w:p>
    <w:p w14:paraId="17C0C241" w14:textId="58E8FA60" w:rsidR="005859C5" w:rsidRPr="0041354D" w:rsidRDefault="005859C5" w:rsidP="005859C5">
      <w:pPr>
        <w:jc w:val="center"/>
        <w:rPr>
          <w:rFonts w:cs="Times New Roman"/>
          <w:szCs w:val="24"/>
        </w:rPr>
      </w:pPr>
    </w:p>
    <w:p w14:paraId="7CDA08A4" w14:textId="538A7EA0" w:rsidR="005859C5" w:rsidRPr="0041354D" w:rsidRDefault="005859C5" w:rsidP="005859C5">
      <w:pPr>
        <w:jc w:val="center"/>
        <w:rPr>
          <w:rFonts w:cs="Times New Roman"/>
          <w:szCs w:val="24"/>
        </w:rPr>
      </w:pPr>
    </w:p>
    <w:p w14:paraId="0328B47E" w14:textId="4BA0FC9F" w:rsidR="005859C5" w:rsidRPr="0041354D" w:rsidRDefault="005859C5" w:rsidP="005859C5">
      <w:pPr>
        <w:jc w:val="center"/>
        <w:rPr>
          <w:rFonts w:cs="Times New Roman"/>
          <w:szCs w:val="24"/>
        </w:rPr>
      </w:pPr>
    </w:p>
    <w:p w14:paraId="7A08381A" w14:textId="285D3435" w:rsidR="005859C5" w:rsidRPr="0041354D" w:rsidRDefault="005859C5" w:rsidP="005859C5">
      <w:pPr>
        <w:jc w:val="center"/>
        <w:rPr>
          <w:rFonts w:cs="Times New Roman"/>
          <w:szCs w:val="24"/>
        </w:rPr>
      </w:pPr>
    </w:p>
    <w:p w14:paraId="1AA8AB59" w14:textId="53C243DB" w:rsidR="005859C5" w:rsidRPr="0041354D" w:rsidRDefault="005859C5" w:rsidP="005859C5">
      <w:pPr>
        <w:jc w:val="center"/>
        <w:rPr>
          <w:rFonts w:cs="Times New Roman"/>
          <w:szCs w:val="24"/>
        </w:rPr>
      </w:pPr>
    </w:p>
    <w:p w14:paraId="1AF4006A" w14:textId="1DC09862" w:rsidR="005859C5" w:rsidRPr="0041354D" w:rsidRDefault="005859C5" w:rsidP="004B0CD2">
      <w:pPr>
        <w:rPr>
          <w:rFonts w:cs="Times New Roman"/>
          <w:szCs w:val="24"/>
        </w:rPr>
      </w:pPr>
      <w:bookmarkStart w:id="0" w:name="_GoBack"/>
      <w:bookmarkEnd w:id="0"/>
    </w:p>
    <w:p w14:paraId="00A2B216" w14:textId="44D028C2" w:rsidR="005859C5" w:rsidRPr="0041354D" w:rsidRDefault="005859C5" w:rsidP="005859C5">
      <w:pPr>
        <w:jc w:val="center"/>
        <w:rPr>
          <w:rFonts w:cs="Times New Roman"/>
          <w:szCs w:val="24"/>
        </w:rPr>
      </w:pPr>
      <w:r w:rsidRPr="0041354D">
        <w:rPr>
          <w:rFonts w:cs="Times New Roman"/>
          <w:szCs w:val="24"/>
        </w:rPr>
        <w:lastRenderedPageBreak/>
        <w:t>Psychology</w:t>
      </w:r>
    </w:p>
    <w:p w14:paraId="00B87239" w14:textId="2FC40A5E" w:rsidR="005859C5" w:rsidRPr="0041354D" w:rsidRDefault="005859C5" w:rsidP="005859C5">
      <w:pPr>
        <w:pStyle w:val="ListParagraph"/>
        <w:numPr>
          <w:ilvl w:val="0"/>
          <w:numId w:val="1"/>
        </w:numPr>
        <w:rPr>
          <w:rFonts w:cs="Times New Roman"/>
          <w:b/>
          <w:bCs/>
          <w:szCs w:val="24"/>
        </w:rPr>
      </w:pPr>
    </w:p>
    <w:p w14:paraId="58484F2B" w14:textId="77777777" w:rsidR="00041556" w:rsidRPr="0041354D" w:rsidRDefault="00041556" w:rsidP="00041556">
      <w:pPr>
        <w:ind w:firstLine="360"/>
        <w:rPr>
          <w:rFonts w:cs="Times New Roman"/>
          <w:szCs w:val="24"/>
        </w:rPr>
      </w:pPr>
      <w:r w:rsidRPr="0041354D">
        <w:rPr>
          <w:rFonts w:cs="Times New Roman"/>
          <w:szCs w:val="24"/>
        </w:rPr>
        <w:t>The nature-nurture controversy has been ongoing from the nineteenth century to date. The controversy is primarily about the comparative contribution genetics and environmental factors play in human development. Some psychologists argue that hereditary factors influence human development the most while some argue that their environment influences human development the most (Morgan &amp; Rose, 2019). Nature controversy argues that human beings are born with certain behavioral traits for instance talents. These are inherited from their parents or older generations. Nurture controversy, on the other hand, explains that some traits in human beings can just be acquired through experience hence, through their environment. This explains that human beings gain adaptive behavior aligned with their environment. Recent finds on the nature-nurture controversy advance as psychologists explain that both genetics and environmental factors commensurably influence human development.</w:t>
      </w:r>
    </w:p>
    <w:p w14:paraId="69120906" w14:textId="0513124A" w:rsidR="00041556" w:rsidRPr="0041354D" w:rsidRDefault="00041556" w:rsidP="00041556">
      <w:pPr>
        <w:ind w:firstLine="360"/>
        <w:rPr>
          <w:rFonts w:cs="Times New Roman"/>
          <w:szCs w:val="24"/>
        </w:rPr>
      </w:pPr>
      <w:r w:rsidRPr="0041354D">
        <w:rPr>
          <w:rFonts w:cs="Times New Roman"/>
          <w:szCs w:val="24"/>
        </w:rPr>
        <w:t xml:space="preserve">The theory of evolution was proposed by Charles Darwin, which explains biological evolution through natural selection. Darwin's idea was that species share a common ancestor. He also explained that species change over time and that the strongest species' traits survive and eventually multiply with time hence, are passed on to other generations. Different species have different sets of heritable traits that are passed on to other generations. In his natural selection model, Charles Darwin explained that during evolution, species undergo changes that enable them to adapt to their natural environments (Morgan&amp; Rose, 2019). The study of genes fits in this discussion as it explains more about the nature of genes and what they do. It also explains more of the role genes play in human development. Therefore, research on genes is impactful in the nature-nurture controversy. Bio psychologists have a better understanding of genes, how they </w:t>
      </w:r>
      <w:r w:rsidRPr="0041354D">
        <w:rPr>
          <w:rFonts w:cs="Times New Roman"/>
          <w:szCs w:val="24"/>
        </w:rPr>
        <w:lastRenderedPageBreak/>
        <w:t xml:space="preserve">work, and passed on. The study of psychology from a biological perspective allows bio psychologists to control and develop genes to be more adaptive in species' environments as well as eliminating undesirable genes. </w:t>
      </w:r>
    </w:p>
    <w:p w14:paraId="73F1144D" w14:textId="0975C30B" w:rsidR="00041556" w:rsidRPr="0041354D" w:rsidRDefault="00041556" w:rsidP="00041556">
      <w:pPr>
        <w:pStyle w:val="ListParagraph"/>
        <w:numPr>
          <w:ilvl w:val="0"/>
          <w:numId w:val="1"/>
        </w:numPr>
        <w:rPr>
          <w:rFonts w:cs="Times New Roman"/>
          <w:b/>
          <w:bCs/>
          <w:szCs w:val="24"/>
        </w:rPr>
      </w:pPr>
    </w:p>
    <w:p w14:paraId="02A4C81C" w14:textId="77777777" w:rsidR="00041556" w:rsidRPr="0041354D" w:rsidRDefault="00041556" w:rsidP="00041556">
      <w:pPr>
        <w:ind w:firstLine="360"/>
        <w:rPr>
          <w:rFonts w:cs="Times New Roman"/>
          <w:szCs w:val="24"/>
        </w:rPr>
      </w:pPr>
      <w:r w:rsidRPr="0041354D">
        <w:rPr>
          <w:rFonts w:cs="Times New Roman"/>
          <w:szCs w:val="24"/>
        </w:rPr>
        <w:t>An action potential is a resting membrane that transmits signals within a neuron that is from dendrite to axon terminal. Once neurotransmitter molecules bind receptors at neuron dendrites, ions open allowing positive ions to enter the neuron hence, depolarizing the membrane (</w:t>
      </w:r>
      <w:proofErr w:type="spellStart"/>
      <w:r w:rsidRPr="0041354D">
        <w:rPr>
          <w:rFonts w:cs="Times New Roman"/>
          <w:szCs w:val="24"/>
        </w:rPr>
        <w:t>Chéreau</w:t>
      </w:r>
      <w:proofErr w:type="spellEnd"/>
      <w:r w:rsidRPr="0041354D">
        <w:rPr>
          <w:rFonts w:cs="Times New Roman"/>
          <w:szCs w:val="24"/>
        </w:rPr>
        <w:t xml:space="preserve"> et al., 2017). This stimulates the sodium channels to open, depolarizing the neuron completely. Once depolarization is complete, the neuron then goes to its resting potentials where sodium channels close and cannot be opened. Through saltatory conduction, an action potential has to travel along an axon to get to another axon in order to communicate to a neurotransmitter (</w:t>
      </w:r>
      <w:proofErr w:type="spellStart"/>
      <w:r w:rsidRPr="0041354D">
        <w:rPr>
          <w:rFonts w:cs="Times New Roman"/>
          <w:szCs w:val="24"/>
        </w:rPr>
        <w:t>Chéreau</w:t>
      </w:r>
      <w:proofErr w:type="spellEnd"/>
      <w:r w:rsidRPr="0041354D">
        <w:rPr>
          <w:rFonts w:cs="Times New Roman"/>
          <w:szCs w:val="24"/>
        </w:rPr>
        <w:t>, et al., 2017). The axon's diameter and its resistance to the current leak influence the speed of conduction of the action potential. The movement of the action potential through ions regenerate it. This movement of action potential from terminal to terminal is called saltatory conduction.</w:t>
      </w:r>
    </w:p>
    <w:p w14:paraId="069D90A6" w14:textId="1EA7DA9C" w:rsidR="00041556" w:rsidRPr="0041354D" w:rsidRDefault="00041556" w:rsidP="00041556">
      <w:pPr>
        <w:ind w:firstLine="360"/>
        <w:rPr>
          <w:rFonts w:cs="Times New Roman"/>
          <w:szCs w:val="24"/>
        </w:rPr>
      </w:pPr>
      <w:r w:rsidRPr="0041354D">
        <w:rPr>
          <w:rFonts w:cs="Times New Roman"/>
          <w:szCs w:val="24"/>
        </w:rPr>
        <w:t>A signal is sent from a neuron causing all sodium channels to open through neurotransmission. Once the channels are open, positive ions fill the cell firing it. It then sends an electrical signal down to the axon (</w:t>
      </w:r>
      <w:proofErr w:type="spellStart"/>
      <w:r w:rsidRPr="0041354D">
        <w:rPr>
          <w:rFonts w:cs="Times New Roman"/>
          <w:szCs w:val="24"/>
        </w:rPr>
        <w:t>Chéreau</w:t>
      </w:r>
      <w:proofErr w:type="spellEnd"/>
      <w:r w:rsidRPr="0041354D">
        <w:rPr>
          <w:rFonts w:cs="Times New Roman"/>
          <w:szCs w:val="24"/>
        </w:rPr>
        <w:t>, et al., 2017). Reuptake is the process where neurotransmitter is removed from the synaptic cleft. Enzymic degradation is the use of molecules to breakdown the active neurotransmitter into molecules that do not interfere with the membrane permeability.</w:t>
      </w:r>
    </w:p>
    <w:p w14:paraId="65C2E5CE" w14:textId="77777777" w:rsidR="00041556" w:rsidRPr="0041354D" w:rsidRDefault="00041556" w:rsidP="00041556">
      <w:pPr>
        <w:ind w:left="720"/>
        <w:rPr>
          <w:rFonts w:cs="Times New Roman"/>
          <w:szCs w:val="24"/>
        </w:rPr>
      </w:pPr>
    </w:p>
    <w:p w14:paraId="00F6F4D6" w14:textId="6C6E42F8" w:rsidR="00041556" w:rsidRPr="0041354D" w:rsidRDefault="00041556" w:rsidP="00041556">
      <w:pPr>
        <w:pStyle w:val="ListParagraph"/>
        <w:numPr>
          <w:ilvl w:val="0"/>
          <w:numId w:val="1"/>
        </w:numPr>
        <w:rPr>
          <w:rFonts w:cs="Times New Roman"/>
          <w:b/>
          <w:bCs/>
          <w:szCs w:val="24"/>
        </w:rPr>
      </w:pPr>
    </w:p>
    <w:p w14:paraId="58F59ED8" w14:textId="77777777" w:rsidR="00041556" w:rsidRPr="0041354D" w:rsidRDefault="00041556" w:rsidP="00041556">
      <w:pPr>
        <w:ind w:firstLine="360"/>
        <w:rPr>
          <w:rFonts w:cs="Times New Roman"/>
          <w:szCs w:val="24"/>
        </w:rPr>
      </w:pPr>
      <w:r w:rsidRPr="0041354D">
        <w:rPr>
          <w:rFonts w:cs="Times New Roman"/>
          <w:szCs w:val="24"/>
        </w:rPr>
        <w:lastRenderedPageBreak/>
        <w:t xml:space="preserve">The eye is an important sensory organ. It helps us to describe our environment, create color and meaning as well as navigating through our physical environment. The cornea is a transparent membrane covering the eye through which light waves go through. It serves as a barrier between the outside world and the inner eye (Lindsay, 2020). The pupil is a small opening in the eye through which light enters. Its size usually increases or decreases according to the amount of light going through. The size of the pupils is controlled by a muscle around it called an iris. Light then passes through the lens which is essential in focusing according to the distance of the object. Images are focused on a part at the back of the eye called the fovea, which has photoreceptive cells. </w:t>
      </w:r>
    </w:p>
    <w:p w14:paraId="3C7B7F3B" w14:textId="66EACE34" w:rsidR="00041556" w:rsidRPr="0041354D" w:rsidRDefault="00041556" w:rsidP="00041556">
      <w:pPr>
        <w:ind w:firstLine="360"/>
        <w:rPr>
          <w:rFonts w:cs="Times New Roman"/>
          <w:szCs w:val="24"/>
        </w:rPr>
      </w:pPr>
      <w:r w:rsidRPr="0041354D">
        <w:rPr>
          <w:rFonts w:cs="Times New Roman"/>
          <w:szCs w:val="24"/>
        </w:rPr>
        <w:t>These photoreceptive cells are known as cones and help us differentiate colors. These are used when there are high levels of brightness. Rods are photoreceptors used when there are low levels of brightness to improve vision (Lindsay, 2020). Therefore, rods and cones alternate between well-lit areas and dimly lit areas. Once a person walks into a dark room after being in the sun for some time, it takes a few seconds for the photoreceptive cells to switch to enable clear vision.  Light transduction happens in the photoreceptive cells (rods and cones) before entering the brain. It then becomes a neural signal. When light hits the photoreceptor, an image is formed in the retina and our ability to perceive the color is through trichromatic coding. Trichromatic theory explains that there are three cones with different wavelengths (Lindsay, 2020). They help in differentiating colors resulting in full-color vision. Opponent receptor theory explains that our ability to recognize color is influenced by three receptor complexes with opposing details. For example, red-green, blue-yellow, and black-white.</w:t>
      </w:r>
    </w:p>
    <w:p w14:paraId="68CCBBF5" w14:textId="6BE3676B" w:rsidR="00041556" w:rsidRPr="0041354D" w:rsidRDefault="00041556" w:rsidP="00041556">
      <w:pPr>
        <w:pStyle w:val="ListParagraph"/>
        <w:numPr>
          <w:ilvl w:val="0"/>
          <w:numId w:val="1"/>
        </w:numPr>
        <w:rPr>
          <w:rFonts w:cs="Times New Roman"/>
          <w:b/>
          <w:bCs/>
          <w:szCs w:val="24"/>
        </w:rPr>
      </w:pPr>
    </w:p>
    <w:p w14:paraId="25E86ADB" w14:textId="77777777" w:rsidR="00041556" w:rsidRPr="0041354D" w:rsidRDefault="00041556" w:rsidP="00041556">
      <w:pPr>
        <w:ind w:firstLine="360"/>
        <w:rPr>
          <w:rFonts w:cs="Times New Roman"/>
          <w:szCs w:val="24"/>
        </w:rPr>
      </w:pPr>
      <w:r w:rsidRPr="0041354D">
        <w:rPr>
          <w:rFonts w:cs="Times New Roman"/>
          <w:szCs w:val="24"/>
        </w:rPr>
        <w:lastRenderedPageBreak/>
        <w:t xml:space="preserve">Several approaches have been used to examine the influence of multiple genes on behavior. One of these approaches is the study of twins. Studies on twins show that their genes vary. Therefore, if twins have the same traits it is more likely that they inherited them from their parents. However, as they grow in the same environment, they are likely to adopt more traits that are influenced by their environment (Sarkar et al., 2020).  The adoption technique is also used to study different genetic and environmental influences. For example, adopted children may have the same traits as their adoptive parents. This shows that their environment influenced their behavior but if they have their biological parent's traits, which means their behavior is influenced by their genetics. The study of families' behaviors is also used as an approach. Family members traits resemble each other in one way or another. Their similar qualities could be because of their common genetic makeup or because of their common environment (Sarkar et al., 2020). The use of selective breeding has also been put to research. This involves breeding animals using certain selected genes to improve quality and to produce high-quality breeds. Research into selective breeding shows that the production of high-quality animals has been successful in most parts of the world. Advances in technology have enabled the development of Artificial Insemination, which produces a high breed of animals. </w:t>
      </w:r>
    </w:p>
    <w:p w14:paraId="4D591C40" w14:textId="60D6A798" w:rsidR="00041556" w:rsidRPr="0041354D" w:rsidRDefault="00041556" w:rsidP="00041556">
      <w:pPr>
        <w:ind w:firstLine="360"/>
        <w:rPr>
          <w:rFonts w:cs="Times New Roman"/>
          <w:szCs w:val="24"/>
        </w:rPr>
      </w:pPr>
      <w:r w:rsidRPr="0041354D">
        <w:rPr>
          <w:rFonts w:cs="Times New Roman"/>
          <w:szCs w:val="24"/>
        </w:rPr>
        <w:t xml:space="preserve">Transgenic animals are animals whose genetics are altered by the introduction of recombinant DNA. This is done to improve quality, productivity, et cetera. This is done by first cloning the transgene DNA. The process involves a promoter, which keeps the transgene active, an exon, a protein-coding sequence, a stop sequence, an intron, poly, and enhancer sequences (Sarkar et al., 2020). The transgene is gotten from the backbone of a vector. After the transgene is developed, it can be transferred through the following techniques: DNA microinjection, </w:t>
      </w:r>
      <w:r w:rsidRPr="0041354D">
        <w:rPr>
          <w:rFonts w:cs="Times New Roman"/>
          <w:szCs w:val="24"/>
        </w:rPr>
        <w:lastRenderedPageBreak/>
        <w:t>embryonic stem cell-mediated gene transfer, retrovirus-mediated gene transfer, sperm mediated gene transfer, or gene transfer by nuclear transfusion.</w:t>
      </w:r>
    </w:p>
    <w:p w14:paraId="6E9D9C1D" w14:textId="7CA00589" w:rsidR="00041556" w:rsidRPr="0041354D" w:rsidRDefault="00041556" w:rsidP="00041556">
      <w:pPr>
        <w:pStyle w:val="ListParagraph"/>
        <w:numPr>
          <w:ilvl w:val="0"/>
          <w:numId w:val="1"/>
        </w:numPr>
        <w:rPr>
          <w:rFonts w:cs="Times New Roman"/>
          <w:b/>
          <w:bCs/>
          <w:szCs w:val="24"/>
        </w:rPr>
      </w:pPr>
    </w:p>
    <w:p w14:paraId="2F7AEEB6" w14:textId="4074F3A7" w:rsidR="00041556" w:rsidRPr="0041354D" w:rsidRDefault="00041556" w:rsidP="00041556">
      <w:pPr>
        <w:ind w:firstLine="360"/>
        <w:rPr>
          <w:rFonts w:cs="Times New Roman"/>
          <w:szCs w:val="24"/>
        </w:rPr>
      </w:pPr>
      <w:r w:rsidRPr="0041354D">
        <w:rPr>
          <w:rFonts w:cs="Times New Roman"/>
          <w:szCs w:val="24"/>
        </w:rPr>
        <w:t>The Medial Forebrain Bundle (MFB) is a small structure in the human brain that is associated with motivated behavior. This part of the brain is primarily responsible for people's addiction, affective disorders, and learning. It is also a key structure of the mesolimbic-dopamine. Studies reveal that the stimulation of MFB shows an increase in motivation and excitement in people (</w:t>
      </w:r>
      <w:proofErr w:type="spellStart"/>
      <w:r w:rsidRPr="0041354D">
        <w:rPr>
          <w:rFonts w:cs="Times New Roman"/>
          <w:szCs w:val="24"/>
        </w:rPr>
        <w:t>Coenen</w:t>
      </w:r>
      <w:proofErr w:type="spellEnd"/>
      <w:r w:rsidRPr="0041354D">
        <w:rPr>
          <w:rFonts w:cs="Times New Roman"/>
          <w:szCs w:val="24"/>
        </w:rPr>
        <w:t xml:space="preserve"> et al., 2017). Stimulation of MFB increases the secretion of dopamine which is an essential neurotransmitter in arousing feelings and impulses. Research on rodents shows that rats went back to areas they received the stimulation from, wanting to get more stimulation. As the levels of electrical stimulation go down the excitement and motivation got lower as well. Rewarding effects on MFB stimulation are enhanced by indirect dopamine agonists and by drugs that stimulate forebrain dopamine systems (</w:t>
      </w:r>
      <w:proofErr w:type="spellStart"/>
      <w:r w:rsidRPr="0041354D">
        <w:rPr>
          <w:rFonts w:cs="Times New Roman"/>
          <w:szCs w:val="24"/>
        </w:rPr>
        <w:t>Coenen</w:t>
      </w:r>
      <w:proofErr w:type="spellEnd"/>
      <w:r w:rsidRPr="0041354D">
        <w:rPr>
          <w:rFonts w:cs="Times New Roman"/>
          <w:szCs w:val="24"/>
        </w:rPr>
        <w:t xml:space="preserve"> et al., 2017). Therefore, MFB also keeps people dependent on drugs because of the emotions they experience. </w:t>
      </w:r>
    </w:p>
    <w:p w14:paraId="06BC052F" w14:textId="760FDCA0" w:rsidR="00041556" w:rsidRPr="0041354D" w:rsidRDefault="00041556" w:rsidP="00041556">
      <w:pPr>
        <w:ind w:firstLine="360"/>
        <w:rPr>
          <w:rFonts w:cs="Times New Roman"/>
          <w:szCs w:val="24"/>
        </w:rPr>
      </w:pPr>
      <w:r w:rsidRPr="0041354D">
        <w:rPr>
          <w:rFonts w:cs="Times New Roman"/>
          <w:szCs w:val="24"/>
        </w:rPr>
        <w:t xml:space="preserve">Dopamine is responsible for the body's pleasure and reward emotions. It is released when a person for example listens to music or enjoys a play. </w:t>
      </w:r>
      <w:r w:rsidR="00801AC9" w:rsidRPr="0041354D">
        <w:rPr>
          <w:rFonts w:cs="Times New Roman"/>
          <w:szCs w:val="24"/>
        </w:rPr>
        <w:t xml:space="preserve">It is secreted mainly by the cerebral cortex. </w:t>
      </w:r>
      <w:r w:rsidRPr="0041354D">
        <w:rPr>
          <w:rFonts w:cs="Times New Roman"/>
          <w:szCs w:val="24"/>
        </w:rPr>
        <w:t>Dopamine levels increase and continue to increase as the activity of listening to music is continued (</w:t>
      </w:r>
      <w:proofErr w:type="spellStart"/>
      <w:r w:rsidRPr="0041354D">
        <w:rPr>
          <w:rFonts w:cs="Times New Roman"/>
          <w:szCs w:val="24"/>
        </w:rPr>
        <w:t>Coenen</w:t>
      </w:r>
      <w:proofErr w:type="spellEnd"/>
      <w:r w:rsidRPr="0041354D">
        <w:rPr>
          <w:rFonts w:cs="Times New Roman"/>
          <w:szCs w:val="24"/>
        </w:rPr>
        <w:t xml:space="preserve"> et al., 2017). </w:t>
      </w:r>
      <w:r w:rsidR="00801AC9" w:rsidRPr="0041354D">
        <w:rPr>
          <w:rFonts w:cs="Times New Roman"/>
          <w:szCs w:val="24"/>
        </w:rPr>
        <w:t xml:space="preserve">There also different types of dopamine which encode value and salience. Value creates goals, outcomes and learning while salience trigger sensory cues. </w:t>
      </w:r>
      <w:r w:rsidRPr="0041354D">
        <w:rPr>
          <w:rFonts w:cs="Times New Roman"/>
          <w:szCs w:val="24"/>
        </w:rPr>
        <w:t xml:space="preserve">To sum up everything that has been stated, </w:t>
      </w:r>
      <w:r w:rsidR="00801AC9" w:rsidRPr="0041354D">
        <w:rPr>
          <w:rFonts w:cs="Times New Roman"/>
          <w:szCs w:val="24"/>
        </w:rPr>
        <w:t xml:space="preserve">both </w:t>
      </w:r>
      <w:r w:rsidRPr="0041354D">
        <w:rPr>
          <w:rFonts w:cs="Times New Roman"/>
          <w:szCs w:val="24"/>
        </w:rPr>
        <w:t xml:space="preserve">direct </w:t>
      </w:r>
      <w:r w:rsidR="00801AC9" w:rsidRPr="0041354D">
        <w:rPr>
          <w:rFonts w:cs="Times New Roman"/>
          <w:szCs w:val="24"/>
        </w:rPr>
        <w:t xml:space="preserve">and indirect </w:t>
      </w:r>
      <w:r w:rsidRPr="0041354D">
        <w:rPr>
          <w:rFonts w:cs="Times New Roman"/>
          <w:szCs w:val="24"/>
        </w:rPr>
        <w:t>stimulation of dopamine has proven to evoke pleasurable feelings in human beings and animals</w:t>
      </w:r>
      <w:r w:rsidR="00801AC9" w:rsidRPr="0041354D">
        <w:rPr>
          <w:rFonts w:cs="Times New Roman"/>
          <w:szCs w:val="24"/>
        </w:rPr>
        <w:t>, increasing their motivation levels as well as increasing their attention to their environments.</w:t>
      </w:r>
    </w:p>
    <w:p w14:paraId="2392E1CD" w14:textId="77777777" w:rsidR="0041354D" w:rsidRPr="0041354D" w:rsidRDefault="0041354D" w:rsidP="0041354D">
      <w:pPr>
        <w:ind w:firstLine="360"/>
        <w:rPr>
          <w:rFonts w:cs="Times New Roman"/>
          <w:szCs w:val="24"/>
        </w:rPr>
      </w:pPr>
      <w:r w:rsidRPr="0041354D">
        <w:rPr>
          <w:rFonts w:cs="Times New Roman"/>
          <w:b/>
          <w:bCs/>
          <w:szCs w:val="24"/>
        </w:rPr>
        <w:t>6.</w:t>
      </w:r>
      <w:r w:rsidRPr="0041354D">
        <w:rPr>
          <w:rFonts w:cs="Times New Roman"/>
          <w:szCs w:val="24"/>
        </w:rPr>
        <w:t xml:space="preserve">       </w:t>
      </w:r>
    </w:p>
    <w:p w14:paraId="0056F863" w14:textId="0ECE8361" w:rsidR="0041354D" w:rsidRPr="0041354D" w:rsidRDefault="0041354D" w:rsidP="0041354D">
      <w:pPr>
        <w:ind w:firstLine="360"/>
        <w:rPr>
          <w:rFonts w:cs="Times New Roman"/>
          <w:szCs w:val="24"/>
        </w:rPr>
      </w:pPr>
      <w:r w:rsidRPr="0041354D">
        <w:rPr>
          <w:rFonts w:cs="Times New Roman"/>
          <w:szCs w:val="24"/>
        </w:rPr>
        <w:lastRenderedPageBreak/>
        <w:t xml:space="preserve">   The monoamine theory of depression is a hypothesis that suggests the underlying pathophysiologic basis of depression is usually due to decreased or reduced levels of certain monoamine neurotransmitters in the central nervous system. Some of these depleted hormones include serotonin, norepinephrine, and dopamine (</w:t>
      </w:r>
      <w:proofErr w:type="spellStart"/>
      <w:r w:rsidRPr="0041354D">
        <w:rPr>
          <w:rFonts w:cs="Times New Roman"/>
          <w:szCs w:val="24"/>
        </w:rPr>
        <w:t>Binde</w:t>
      </w:r>
      <w:proofErr w:type="spellEnd"/>
      <w:r w:rsidRPr="0041354D">
        <w:rPr>
          <w:rFonts w:cs="Times New Roman"/>
          <w:szCs w:val="24"/>
        </w:rPr>
        <w:t>, et al., 2020). Serotonin is the essential hormone that helps with a person's mood, the feeling of well-being, and how happy they feel. At the same time, norepinephrine increases the brain activity towards feeling energized and more attentive, as dopamine (a brain chemical) helps with one's sense of motivation. Hence, low levels of these hormones in the body, cause an individual to feel depressed, unmotivated, and moody. There is evidence to support this information whereby, monoamine hypothesis for depression has been chiefly based on the drugs currently being used. In most studies done, it was found out that most of the people that committed suicide had low amounts of monoamine agonists.</w:t>
      </w:r>
    </w:p>
    <w:p w14:paraId="2383A4E4" w14:textId="77777777" w:rsidR="0041354D" w:rsidRPr="0041354D" w:rsidRDefault="0041354D" w:rsidP="0041354D">
      <w:pPr>
        <w:ind w:firstLine="360"/>
        <w:rPr>
          <w:rFonts w:cs="Times New Roman"/>
          <w:szCs w:val="24"/>
        </w:rPr>
      </w:pPr>
      <w:r w:rsidRPr="0041354D">
        <w:rPr>
          <w:rFonts w:cs="Times New Roman"/>
          <w:szCs w:val="24"/>
        </w:rPr>
        <w:t xml:space="preserve">         Secondly, reserpine has been used to treat people with blood pressure mainly. However, reserpine is a monoamine antagonist, and one of its side effects is to cause depression. Hence, by using a monoamine antagonist, a patient ends up being depressed. This further supports that the 5-HT metabolites (still as the monoamine agonists) help treat depression, as it works against monoamine antagonists. A theory consistent with the monoamine theory about why the treatment may take longer to have a clinical benefit involves neural compensation and sub-sensitivity. Since depression is caused by depletion of 5-HT auto-receptors in the central nervous system, an inhibitory effect is served by the receptors in the presynaptic membrane to curb the neurotransmitters they are sensitive towards them. However, with time (2-3 week period), the receptors become less and less sensitive towards the monoamine agonists, causing the depression to decrease as the monoamine agonists increase.</w:t>
      </w:r>
    </w:p>
    <w:p w14:paraId="2EA9A601" w14:textId="77777777" w:rsidR="0041354D" w:rsidRPr="0041354D" w:rsidRDefault="0041354D" w:rsidP="0041354D">
      <w:pPr>
        <w:ind w:firstLine="360"/>
        <w:rPr>
          <w:rFonts w:cs="Times New Roman"/>
          <w:szCs w:val="24"/>
        </w:rPr>
      </w:pPr>
      <w:r w:rsidRPr="0041354D">
        <w:rPr>
          <w:rFonts w:cs="Times New Roman"/>
          <w:b/>
          <w:bCs/>
          <w:szCs w:val="24"/>
        </w:rPr>
        <w:t>7</w:t>
      </w:r>
      <w:r w:rsidRPr="0041354D">
        <w:rPr>
          <w:rFonts w:cs="Times New Roman"/>
          <w:szCs w:val="24"/>
        </w:rPr>
        <w:t xml:space="preserve">.      </w:t>
      </w:r>
    </w:p>
    <w:p w14:paraId="0C5977C7" w14:textId="54ED4CD7" w:rsidR="0041354D" w:rsidRPr="0041354D" w:rsidRDefault="0041354D" w:rsidP="0041354D">
      <w:pPr>
        <w:ind w:firstLine="360"/>
        <w:rPr>
          <w:rFonts w:cs="Times New Roman"/>
          <w:szCs w:val="24"/>
        </w:rPr>
      </w:pPr>
      <w:r w:rsidRPr="0041354D">
        <w:rPr>
          <w:rFonts w:cs="Times New Roman"/>
          <w:szCs w:val="24"/>
        </w:rPr>
        <w:lastRenderedPageBreak/>
        <w:t>The hypocretin is a neuropeptide that is synthesized by neurons contained in the lateral hypothalamus. These usually help to promote appetitive environmental behaviors. When the body's sugar level drops, the lateral hypothalamus is stimulated, causing it to send the brain signals that one is hungry. The ventromedial hypothalamus' role is to send signals that one is complete when taking one meal. When one is eating, one blood sugar increases to a certain level, which the ventromedial hypothalamus picks up, causing one to feel full. Both of these help control the eating behavior of a person. While the hypothalamus is the key controller of one's eating behavior, the reward (e.g., striatum), emotion (e.g., amygdala), attention (visual and parietal cortices), and cognitive control (prefrontal cortex) systems also deal with energy intake and its expenditure in the body. Yes, these can also be shown in a homeostatic model. Ghrelin is contained both in the hypothalamus and other sites in the brain that enables feeding. Ghrelin induces feeding in humans and usually gives one the urge to want to eat.</w:t>
      </w:r>
    </w:p>
    <w:p w14:paraId="5F54D0F4" w14:textId="77777777" w:rsidR="0041354D" w:rsidRPr="0041354D" w:rsidRDefault="0041354D" w:rsidP="0041354D">
      <w:pPr>
        <w:ind w:firstLine="360"/>
        <w:rPr>
          <w:rFonts w:cs="Times New Roman"/>
          <w:szCs w:val="24"/>
        </w:rPr>
      </w:pPr>
      <w:r w:rsidRPr="0041354D">
        <w:rPr>
          <w:rFonts w:cs="Times New Roman"/>
          <w:szCs w:val="24"/>
        </w:rPr>
        <w:t xml:space="preserve">           Leptin as well is another one whose presence induces feeding. However, leptin levels in the body are more effective when they are low in the body, than a lot (</w:t>
      </w:r>
      <w:proofErr w:type="spellStart"/>
      <w:r w:rsidRPr="0041354D">
        <w:rPr>
          <w:rFonts w:cs="Times New Roman"/>
          <w:szCs w:val="24"/>
        </w:rPr>
        <w:t>Celano</w:t>
      </w:r>
      <w:proofErr w:type="spellEnd"/>
      <w:r w:rsidRPr="0041354D">
        <w:rPr>
          <w:rFonts w:cs="Times New Roman"/>
          <w:szCs w:val="24"/>
        </w:rPr>
        <w:t>, et al., 2019). This means that they have a greater effect of causing one to feel hungry, rather than inhibiting one's eating when full. Non-homeostatic mechanisms on feeding involve the learning, memory, and cognitive processes that affect one's eating behavior based on their prior experiences. Evidence can be seen whereby the orbitofrontal cortex is implicated in sensory-specific satiety. One feels full for a particular food, yet they may feel unsatisfied and continue eating when presented with a different dish from the first one due to decreased cerebral blood flow in the orbitofrontal cortex.</w:t>
      </w:r>
    </w:p>
    <w:p w14:paraId="16DFF179" w14:textId="77777777" w:rsidR="0041354D" w:rsidRPr="0041354D" w:rsidRDefault="0041354D" w:rsidP="0041354D">
      <w:pPr>
        <w:ind w:firstLine="360"/>
        <w:rPr>
          <w:rFonts w:cs="Times New Roman"/>
          <w:b/>
          <w:bCs/>
          <w:szCs w:val="24"/>
        </w:rPr>
      </w:pPr>
      <w:r w:rsidRPr="0041354D">
        <w:rPr>
          <w:rFonts w:cs="Times New Roman"/>
          <w:b/>
          <w:bCs/>
          <w:szCs w:val="24"/>
        </w:rPr>
        <w:t xml:space="preserve">8.     </w:t>
      </w:r>
    </w:p>
    <w:p w14:paraId="53E0FB4E" w14:textId="3D523C4C" w:rsidR="0041354D" w:rsidRPr="0041354D" w:rsidRDefault="0041354D" w:rsidP="0041354D">
      <w:pPr>
        <w:ind w:firstLine="360"/>
        <w:rPr>
          <w:rFonts w:cs="Times New Roman"/>
          <w:szCs w:val="24"/>
        </w:rPr>
      </w:pPr>
      <w:r w:rsidRPr="0041354D">
        <w:rPr>
          <w:rFonts w:cs="Times New Roman"/>
          <w:szCs w:val="24"/>
        </w:rPr>
        <w:lastRenderedPageBreak/>
        <w:t>The pyramidal and extrapyramidal systems are both contained in the motor system, which is part of the nervous system. The pyramidal tract is contained in the cerebral cortex and serves as the motor pathway responsible for voluntary muscle movement. The pyramidal tract contains both the corticospinal (which contains motor axons) and the corticobulbar tracts, which help to send signals from the cerebral cortex on sensation and voluntary muscle movement. The extrapyramidal system comprises a biological neural network in the motor system and helps with involuntary muscle movement. The motor cortex, located in the cerebral cortex, is known to plan, control and execute movements (</w:t>
      </w:r>
      <w:proofErr w:type="spellStart"/>
      <w:r w:rsidRPr="0041354D">
        <w:rPr>
          <w:rFonts w:cs="Times New Roman"/>
          <w:szCs w:val="24"/>
        </w:rPr>
        <w:t>Ebesen</w:t>
      </w:r>
      <w:proofErr w:type="spellEnd"/>
      <w:r w:rsidRPr="0041354D">
        <w:rPr>
          <w:rFonts w:cs="Times New Roman"/>
          <w:szCs w:val="24"/>
        </w:rPr>
        <w:t>, et al., 2017). The primary motor cortex, the premotor cortex, and the supplementary motor area all comprise the motor cortex. It is the electric stimulation of these tracts that causes movement to occur.</w:t>
      </w:r>
    </w:p>
    <w:p w14:paraId="7915B0EE" w14:textId="77777777" w:rsidR="0041354D" w:rsidRPr="0041354D" w:rsidRDefault="0041354D" w:rsidP="0041354D">
      <w:pPr>
        <w:ind w:firstLine="360"/>
        <w:rPr>
          <w:rFonts w:cs="Times New Roman"/>
          <w:szCs w:val="24"/>
        </w:rPr>
      </w:pPr>
      <w:r w:rsidRPr="0041354D">
        <w:rPr>
          <w:rFonts w:cs="Times New Roman"/>
          <w:szCs w:val="24"/>
        </w:rPr>
        <w:t xml:space="preserve">         The primary motor cortex controls movement on both sides of the body, with the left side of the motor cortex controlling the right side and the left side controlling the body's right side. This is why when someone gets a stroke on the brain's one side, the other side of the body's movement is usually affected. Different parts of the motor cortex connect to different parts of a human's body. Hence, the motor cortex's premotor areas plan and coordinate the complex movements; the primary cortex takes out the final output, sending the signal to the spinal cord, which in turn executes the movements. Also, the different connected parts usually make up the homunculus, which determines the amount of movement applied to a specific area of one's body movements, regarding the amount of work required of the particular muscles. Hence, if a person gets injured, only the specific part connected to the motor cortex's movement will be affected, not the whole motor cortex system.</w:t>
      </w:r>
    </w:p>
    <w:p w14:paraId="267E8228" w14:textId="77777777" w:rsidR="0041354D" w:rsidRPr="0041354D" w:rsidRDefault="0041354D" w:rsidP="0041354D">
      <w:pPr>
        <w:ind w:firstLine="360"/>
        <w:rPr>
          <w:rFonts w:cs="Times New Roman"/>
          <w:b/>
          <w:bCs/>
          <w:szCs w:val="24"/>
        </w:rPr>
      </w:pPr>
      <w:r w:rsidRPr="0041354D">
        <w:rPr>
          <w:rFonts w:cs="Times New Roman"/>
          <w:b/>
          <w:bCs/>
          <w:szCs w:val="24"/>
        </w:rPr>
        <w:t xml:space="preserve">9.      </w:t>
      </w:r>
    </w:p>
    <w:p w14:paraId="5031933F" w14:textId="283F7BD6" w:rsidR="0041354D" w:rsidRPr="0041354D" w:rsidRDefault="0041354D" w:rsidP="0041354D">
      <w:pPr>
        <w:ind w:firstLine="360"/>
        <w:rPr>
          <w:rFonts w:cs="Times New Roman"/>
          <w:szCs w:val="24"/>
        </w:rPr>
      </w:pPr>
      <w:r w:rsidRPr="0041354D">
        <w:rPr>
          <w:rFonts w:cs="Times New Roman"/>
          <w:szCs w:val="24"/>
        </w:rPr>
        <w:lastRenderedPageBreak/>
        <w:t>The dorsal and ventral streams are both pathways in the brain and emanating from the visual cortex, the dorsal being for spatial processing (control of actions) and the ventral being for form perception or identification of objects. The theories that emerged seemed to argue that there were two distinct visual pathways. One was to answer the question 'where,' and the other was to answer 'what'. The ventral system, located in the parietal lobe, was for identifying the objects in context, while the dorsal stream, which is located in the parietal lobe, function is to locate the object.  The dorsal stream contains a visual map, controlling movements and maintaining balance, and operates from the occipital to the parietal lobe (</w:t>
      </w:r>
      <w:proofErr w:type="spellStart"/>
      <w:r w:rsidRPr="0041354D">
        <w:rPr>
          <w:rFonts w:cs="Times New Roman"/>
          <w:szCs w:val="24"/>
        </w:rPr>
        <w:t>Kaas</w:t>
      </w:r>
      <w:proofErr w:type="spellEnd"/>
      <w:r w:rsidRPr="0041354D">
        <w:rPr>
          <w:rFonts w:cs="Times New Roman"/>
          <w:szCs w:val="24"/>
        </w:rPr>
        <w:t>, et al., 2020). While for the ventral stream, its function is to form different perceptions and identify objects. Hence, if one's ventral stream is injured, one's ability to recognize faces is usually lost.</w:t>
      </w:r>
    </w:p>
    <w:p w14:paraId="18EAAA3C" w14:textId="77777777" w:rsidR="0041354D" w:rsidRPr="0041354D" w:rsidRDefault="0041354D" w:rsidP="0041354D">
      <w:pPr>
        <w:ind w:firstLine="360"/>
        <w:rPr>
          <w:rFonts w:cs="Times New Roman"/>
          <w:szCs w:val="24"/>
        </w:rPr>
      </w:pPr>
      <w:r w:rsidRPr="0041354D">
        <w:rPr>
          <w:rFonts w:cs="Times New Roman"/>
          <w:szCs w:val="24"/>
        </w:rPr>
        <w:t xml:space="preserve">Different experiments have been made to prove that </w:t>
      </w:r>
      <w:proofErr w:type="spellStart"/>
      <w:r w:rsidRPr="0041354D">
        <w:rPr>
          <w:rFonts w:cs="Times New Roman"/>
          <w:szCs w:val="24"/>
        </w:rPr>
        <w:t>manipulable</w:t>
      </w:r>
      <w:proofErr w:type="spellEnd"/>
      <w:r w:rsidRPr="0041354D">
        <w:rPr>
          <w:rFonts w:cs="Times New Roman"/>
          <w:szCs w:val="24"/>
        </w:rPr>
        <w:t xml:space="preserve"> objects or tools are categorized directly along dorsal stream. Say, if someone is flashed smokescreens at 10hz to one eye. This experience usually disorients the ventral stream while leaving the dorsal stream untouched.  </w:t>
      </w:r>
    </w:p>
    <w:p w14:paraId="57DC1481" w14:textId="77777777" w:rsidR="0041354D" w:rsidRPr="0041354D" w:rsidRDefault="0041354D" w:rsidP="0041354D">
      <w:pPr>
        <w:ind w:firstLine="360"/>
        <w:rPr>
          <w:rFonts w:cs="Times New Roman"/>
          <w:szCs w:val="24"/>
        </w:rPr>
      </w:pPr>
      <w:r w:rsidRPr="0041354D">
        <w:rPr>
          <w:rFonts w:cs="Times New Roman"/>
          <w:b/>
          <w:bCs/>
          <w:szCs w:val="24"/>
        </w:rPr>
        <w:t>10.</w:t>
      </w:r>
      <w:r w:rsidRPr="0041354D">
        <w:rPr>
          <w:rFonts w:cs="Times New Roman"/>
          <w:szCs w:val="24"/>
        </w:rPr>
        <w:t xml:space="preserve">      </w:t>
      </w:r>
    </w:p>
    <w:p w14:paraId="7D918B2C" w14:textId="5E5401F6" w:rsidR="0041354D" w:rsidRPr="0041354D" w:rsidRDefault="0041354D" w:rsidP="0041354D">
      <w:pPr>
        <w:ind w:firstLine="360"/>
        <w:rPr>
          <w:rFonts w:cs="Times New Roman"/>
          <w:szCs w:val="24"/>
        </w:rPr>
      </w:pPr>
      <w:r w:rsidRPr="0041354D">
        <w:rPr>
          <w:rFonts w:cs="Times New Roman"/>
          <w:szCs w:val="24"/>
        </w:rPr>
        <w:t xml:space="preserve">The brainstem contains the medulla oblongata (whose lower half runs through to the spinal cord and upper half is connected to the pons), the midbrain, and the pons. In comparison, the midbrain structure contains the tectum, cerebral aqueduct, tegmentum, and cerebral peduncles. The midbrain also adjoins the diencephalon rostrally while joining the hindbrain from the caudal. The forebrain is also known as the prosencephalon. This consists of the telencephalon, under which we have the cerebral hemisphere. The cerebral hemisphere contains the diencephalon, which in turn has the thalamus, hypothalamus, epithalamus, and subthalamus. The basal ganglia consist of the dorsal and ventral striatum, the ventral and global pallidus, the substantial </w:t>
      </w:r>
      <w:proofErr w:type="spellStart"/>
      <w:r w:rsidRPr="0041354D">
        <w:rPr>
          <w:rFonts w:cs="Times New Roman"/>
          <w:szCs w:val="24"/>
        </w:rPr>
        <w:t>niagra</w:t>
      </w:r>
      <w:proofErr w:type="spellEnd"/>
      <w:r w:rsidRPr="0041354D">
        <w:rPr>
          <w:rFonts w:cs="Times New Roman"/>
          <w:szCs w:val="24"/>
        </w:rPr>
        <w:t xml:space="preserve">, </w:t>
      </w:r>
      <w:r w:rsidRPr="0041354D">
        <w:rPr>
          <w:rFonts w:cs="Times New Roman"/>
          <w:szCs w:val="24"/>
        </w:rPr>
        <w:lastRenderedPageBreak/>
        <w:t xml:space="preserve">and the subthalamic nucleus. The work of the basal ganglia usually is to plan and modulate movements. While the limbic system (which deals with reinforcement of behavior and memories), consists of the fornix, hippocampus, cingulate gyrus, amygdala and the </w:t>
      </w:r>
      <w:proofErr w:type="spellStart"/>
      <w:r w:rsidRPr="0041354D">
        <w:rPr>
          <w:rFonts w:cs="Times New Roman"/>
          <w:szCs w:val="24"/>
        </w:rPr>
        <w:t>parahippocampal</w:t>
      </w:r>
      <w:proofErr w:type="spellEnd"/>
      <w:r w:rsidRPr="0041354D">
        <w:rPr>
          <w:rFonts w:cs="Times New Roman"/>
          <w:szCs w:val="24"/>
        </w:rPr>
        <w:t xml:space="preserve"> gyrus. </w:t>
      </w:r>
    </w:p>
    <w:p w14:paraId="53950CD9" w14:textId="77777777" w:rsidR="0041354D" w:rsidRPr="0041354D" w:rsidRDefault="0041354D" w:rsidP="0041354D">
      <w:pPr>
        <w:ind w:firstLine="360"/>
        <w:rPr>
          <w:rFonts w:cs="Times New Roman"/>
          <w:szCs w:val="24"/>
        </w:rPr>
      </w:pPr>
      <w:r w:rsidRPr="0041354D">
        <w:rPr>
          <w:rFonts w:cs="Times New Roman"/>
          <w:szCs w:val="24"/>
        </w:rPr>
        <w:t xml:space="preserve">       The brainstem usually helps in regulating involuntary actions that the body makes. These are movements made by the body subconsciously, without the individual having to think directly about it. They include heart beating and breathing. The midbrain deals with different motor activities of the body, some of these activities are eye movement, auditory and visual processing. The forebrain has a lot of functions that it deals with. Some of these include voluntary motor activities, cognitive activities, and also sensory activities. With the cerebral cortex being the most important, it plays a crucial part in memory, speech, and individual ways of thinking (Cabezas, et al., 2019). While for the cerebral cortex's structure, it consists of the outer layer and the inner layer. It also contains four lobes, including the parietal lobe, the occipital lobe, the temporal lobe, and the frontal lobe. All of these usually help with the various functions of the cerebral cortex.</w:t>
      </w:r>
    </w:p>
    <w:p w14:paraId="181AB009" w14:textId="77777777" w:rsidR="0041354D" w:rsidRPr="0041354D" w:rsidRDefault="0041354D" w:rsidP="0041354D">
      <w:pPr>
        <w:ind w:firstLine="360"/>
        <w:rPr>
          <w:rFonts w:cs="Times New Roman"/>
          <w:szCs w:val="24"/>
        </w:rPr>
      </w:pPr>
    </w:p>
    <w:p w14:paraId="52DFFC85" w14:textId="77777777" w:rsidR="0041354D" w:rsidRPr="0041354D" w:rsidRDefault="0041354D" w:rsidP="0041354D">
      <w:pPr>
        <w:ind w:firstLine="360"/>
        <w:rPr>
          <w:rFonts w:cs="Times New Roman"/>
          <w:szCs w:val="24"/>
        </w:rPr>
      </w:pPr>
    </w:p>
    <w:p w14:paraId="75E75D72" w14:textId="77777777" w:rsidR="0041354D" w:rsidRPr="0041354D" w:rsidRDefault="0041354D" w:rsidP="0041354D">
      <w:pPr>
        <w:ind w:firstLine="360"/>
        <w:rPr>
          <w:rFonts w:cs="Times New Roman"/>
          <w:szCs w:val="24"/>
        </w:rPr>
      </w:pPr>
    </w:p>
    <w:p w14:paraId="47F8C42B" w14:textId="77777777" w:rsidR="0041354D" w:rsidRPr="0041354D" w:rsidRDefault="0041354D" w:rsidP="0041354D">
      <w:pPr>
        <w:ind w:firstLine="360"/>
        <w:rPr>
          <w:rFonts w:cs="Times New Roman"/>
          <w:szCs w:val="24"/>
        </w:rPr>
      </w:pPr>
    </w:p>
    <w:p w14:paraId="2D8A72E0" w14:textId="77777777" w:rsidR="0041354D" w:rsidRPr="0041354D" w:rsidRDefault="0041354D" w:rsidP="0041354D">
      <w:pPr>
        <w:ind w:firstLine="360"/>
        <w:rPr>
          <w:rFonts w:cs="Times New Roman"/>
          <w:szCs w:val="24"/>
        </w:rPr>
      </w:pPr>
    </w:p>
    <w:p w14:paraId="3365B944" w14:textId="77777777" w:rsidR="0041354D" w:rsidRPr="0041354D" w:rsidRDefault="0041354D" w:rsidP="0041354D">
      <w:pPr>
        <w:ind w:firstLine="360"/>
        <w:rPr>
          <w:rFonts w:cs="Times New Roman"/>
          <w:szCs w:val="24"/>
        </w:rPr>
      </w:pPr>
    </w:p>
    <w:p w14:paraId="608140E4" w14:textId="77777777" w:rsidR="0041354D" w:rsidRPr="0041354D" w:rsidRDefault="0041354D" w:rsidP="0041354D">
      <w:pPr>
        <w:ind w:firstLine="360"/>
        <w:rPr>
          <w:rFonts w:cs="Times New Roman"/>
          <w:szCs w:val="24"/>
        </w:rPr>
      </w:pPr>
    </w:p>
    <w:p w14:paraId="6639BA35" w14:textId="4FA97931" w:rsidR="004B0CD2" w:rsidRPr="0041354D" w:rsidRDefault="004B0CD2" w:rsidP="00041556">
      <w:pPr>
        <w:ind w:firstLine="360"/>
        <w:rPr>
          <w:rFonts w:cs="Times New Roman"/>
          <w:szCs w:val="24"/>
        </w:rPr>
      </w:pPr>
    </w:p>
    <w:p w14:paraId="64C8491B" w14:textId="77777777" w:rsidR="004B0CD2" w:rsidRPr="0041354D" w:rsidRDefault="004B0CD2" w:rsidP="00041556">
      <w:pPr>
        <w:ind w:firstLine="360"/>
        <w:rPr>
          <w:rFonts w:cs="Times New Roman"/>
          <w:szCs w:val="24"/>
        </w:rPr>
      </w:pPr>
    </w:p>
    <w:p w14:paraId="26F6C73B" w14:textId="02B0BD81" w:rsidR="00F32C98" w:rsidRPr="0041354D" w:rsidRDefault="00F32C98" w:rsidP="00F32C98">
      <w:pPr>
        <w:ind w:firstLine="360"/>
        <w:jc w:val="center"/>
        <w:rPr>
          <w:rFonts w:cs="Times New Roman"/>
          <w:szCs w:val="24"/>
        </w:rPr>
      </w:pPr>
      <w:r w:rsidRPr="0041354D">
        <w:rPr>
          <w:rFonts w:cs="Times New Roman"/>
          <w:szCs w:val="24"/>
        </w:rPr>
        <w:lastRenderedPageBreak/>
        <w:t>References</w:t>
      </w:r>
    </w:p>
    <w:p w14:paraId="63ECC66B" w14:textId="77777777" w:rsidR="0041354D" w:rsidRPr="0041354D" w:rsidRDefault="0041354D" w:rsidP="0041354D">
      <w:pPr>
        <w:ind w:left="720" w:hanging="720"/>
        <w:rPr>
          <w:rFonts w:cs="Times New Roman"/>
          <w:szCs w:val="24"/>
        </w:rPr>
      </w:pPr>
    </w:p>
    <w:p w14:paraId="0D84EDB6" w14:textId="77777777" w:rsidR="0041354D" w:rsidRPr="0041354D" w:rsidRDefault="0041354D" w:rsidP="0041354D">
      <w:pPr>
        <w:ind w:left="720" w:hanging="720"/>
        <w:rPr>
          <w:rFonts w:cs="Times New Roman"/>
          <w:szCs w:val="24"/>
        </w:rPr>
      </w:pPr>
      <w:proofErr w:type="spellStart"/>
      <w:r w:rsidRPr="0041354D">
        <w:rPr>
          <w:rFonts w:cs="Times New Roman"/>
          <w:szCs w:val="24"/>
        </w:rPr>
        <w:t>Binde</w:t>
      </w:r>
      <w:proofErr w:type="spellEnd"/>
      <w:r w:rsidRPr="0041354D">
        <w:rPr>
          <w:rFonts w:cs="Times New Roman"/>
          <w:szCs w:val="24"/>
        </w:rPr>
        <w:t xml:space="preserve">, C. D., </w:t>
      </w:r>
      <w:proofErr w:type="spellStart"/>
      <w:r w:rsidRPr="0041354D">
        <w:rPr>
          <w:rFonts w:cs="Times New Roman"/>
          <w:szCs w:val="24"/>
        </w:rPr>
        <w:t>Tvete</w:t>
      </w:r>
      <w:proofErr w:type="spellEnd"/>
      <w:r w:rsidRPr="0041354D">
        <w:rPr>
          <w:rFonts w:cs="Times New Roman"/>
          <w:szCs w:val="24"/>
        </w:rPr>
        <w:t xml:space="preserve">, I. F., </w:t>
      </w:r>
      <w:proofErr w:type="spellStart"/>
      <w:r w:rsidRPr="0041354D">
        <w:rPr>
          <w:rFonts w:cs="Times New Roman"/>
          <w:szCs w:val="24"/>
        </w:rPr>
        <w:t>Gåsemyr</w:t>
      </w:r>
      <w:proofErr w:type="spellEnd"/>
      <w:r w:rsidRPr="0041354D">
        <w:rPr>
          <w:rFonts w:cs="Times New Roman"/>
          <w:szCs w:val="24"/>
        </w:rPr>
        <w:t xml:space="preserve">, J. I., </w:t>
      </w:r>
      <w:proofErr w:type="spellStart"/>
      <w:r w:rsidRPr="0041354D">
        <w:rPr>
          <w:rFonts w:cs="Times New Roman"/>
          <w:szCs w:val="24"/>
        </w:rPr>
        <w:t>Natvig</w:t>
      </w:r>
      <w:proofErr w:type="spellEnd"/>
      <w:r w:rsidRPr="0041354D">
        <w:rPr>
          <w:rFonts w:cs="Times New Roman"/>
          <w:szCs w:val="24"/>
        </w:rPr>
        <w:t xml:space="preserve">, B., &amp; </w:t>
      </w:r>
      <w:proofErr w:type="spellStart"/>
      <w:r w:rsidRPr="0041354D">
        <w:rPr>
          <w:rFonts w:cs="Times New Roman"/>
          <w:szCs w:val="24"/>
        </w:rPr>
        <w:t>Klemp</w:t>
      </w:r>
      <w:proofErr w:type="spellEnd"/>
      <w:r w:rsidRPr="0041354D">
        <w:rPr>
          <w:rFonts w:cs="Times New Roman"/>
          <w:szCs w:val="24"/>
        </w:rPr>
        <w:t>, M. (2020). Comparative effectiveness of dopamine agonists and monoamine oxidase type-B inhibitors for Parkinson’s disease: a multiple treatment comparison meta-analysis. </w:t>
      </w:r>
      <w:r w:rsidRPr="0041354D">
        <w:rPr>
          <w:rFonts w:cs="Times New Roman"/>
          <w:i/>
          <w:iCs/>
          <w:szCs w:val="24"/>
        </w:rPr>
        <w:t>European journal of clinical pharmacology</w:t>
      </w:r>
      <w:r w:rsidRPr="0041354D">
        <w:rPr>
          <w:rFonts w:cs="Times New Roman"/>
          <w:szCs w:val="24"/>
        </w:rPr>
        <w:t>, </w:t>
      </w:r>
      <w:r w:rsidRPr="0041354D">
        <w:rPr>
          <w:rFonts w:cs="Times New Roman"/>
          <w:i/>
          <w:iCs/>
          <w:szCs w:val="24"/>
        </w:rPr>
        <w:t>76</w:t>
      </w:r>
      <w:r w:rsidRPr="0041354D">
        <w:rPr>
          <w:rFonts w:cs="Times New Roman"/>
          <w:szCs w:val="24"/>
        </w:rPr>
        <w:t>(12), 1731-1743.</w:t>
      </w:r>
    </w:p>
    <w:p w14:paraId="3FA015BE" w14:textId="77777777" w:rsidR="0041354D" w:rsidRPr="0041354D" w:rsidRDefault="0041354D" w:rsidP="0041354D">
      <w:pPr>
        <w:ind w:left="720" w:hanging="720"/>
        <w:rPr>
          <w:rFonts w:cs="Times New Roman"/>
          <w:szCs w:val="24"/>
        </w:rPr>
      </w:pPr>
      <w:proofErr w:type="spellStart"/>
      <w:r w:rsidRPr="0041354D">
        <w:rPr>
          <w:rFonts w:cs="Times New Roman"/>
          <w:szCs w:val="24"/>
        </w:rPr>
        <w:t>Celano</w:t>
      </w:r>
      <w:proofErr w:type="spellEnd"/>
      <w:r w:rsidRPr="0041354D">
        <w:rPr>
          <w:rFonts w:cs="Times New Roman"/>
          <w:szCs w:val="24"/>
        </w:rPr>
        <w:t xml:space="preserve">, M., </w:t>
      </w:r>
      <w:proofErr w:type="spellStart"/>
      <w:r w:rsidRPr="0041354D">
        <w:rPr>
          <w:rFonts w:cs="Times New Roman"/>
          <w:szCs w:val="24"/>
        </w:rPr>
        <w:t>Maggisano</w:t>
      </w:r>
      <w:proofErr w:type="spellEnd"/>
      <w:r w:rsidRPr="0041354D">
        <w:rPr>
          <w:rFonts w:cs="Times New Roman"/>
          <w:szCs w:val="24"/>
        </w:rPr>
        <w:t xml:space="preserve">, V., Lepore, S. M., </w:t>
      </w:r>
      <w:proofErr w:type="spellStart"/>
      <w:r w:rsidRPr="0041354D">
        <w:rPr>
          <w:rFonts w:cs="Times New Roman"/>
          <w:szCs w:val="24"/>
        </w:rPr>
        <w:t>Sponziello</w:t>
      </w:r>
      <w:proofErr w:type="spellEnd"/>
      <w:r w:rsidRPr="0041354D">
        <w:rPr>
          <w:rFonts w:cs="Times New Roman"/>
          <w:szCs w:val="24"/>
        </w:rPr>
        <w:t xml:space="preserve">, M., </w:t>
      </w:r>
      <w:proofErr w:type="spellStart"/>
      <w:r w:rsidRPr="0041354D">
        <w:rPr>
          <w:rFonts w:cs="Times New Roman"/>
          <w:szCs w:val="24"/>
        </w:rPr>
        <w:t>Pecce</w:t>
      </w:r>
      <w:proofErr w:type="spellEnd"/>
      <w:r w:rsidRPr="0041354D">
        <w:rPr>
          <w:rFonts w:cs="Times New Roman"/>
          <w:szCs w:val="24"/>
        </w:rPr>
        <w:t xml:space="preserve">, V., </w:t>
      </w:r>
      <w:proofErr w:type="spellStart"/>
      <w:r w:rsidRPr="0041354D">
        <w:rPr>
          <w:rFonts w:cs="Times New Roman"/>
          <w:szCs w:val="24"/>
        </w:rPr>
        <w:t>Verrienti</w:t>
      </w:r>
      <w:proofErr w:type="spellEnd"/>
      <w:r w:rsidRPr="0041354D">
        <w:rPr>
          <w:rFonts w:cs="Times New Roman"/>
          <w:szCs w:val="24"/>
        </w:rPr>
        <w:t>, A., ... &amp; Russo, D. (2019). Expression of leptin receptor and effects of leptin on papillary thyroid carcinoma cells. </w:t>
      </w:r>
      <w:r w:rsidRPr="0041354D">
        <w:rPr>
          <w:rFonts w:cs="Times New Roman"/>
          <w:i/>
          <w:iCs/>
          <w:szCs w:val="24"/>
        </w:rPr>
        <w:t>International journal of endocrinology</w:t>
      </w:r>
      <w:r w:rsidRPr="0041354D">
        <w:rPr>
          <w:rFonts w:cs="Times New Roman"/>
          <w:szCs w:val="24"/>
        </w:rPr>
        <w:t>, </w:t>
      </w:r>
      <w:r w:rsidRPr="0041354D">
        <w:rPr>
          <w:rFonts w:cs="Times New Roman"/>
          <w:i/>
          <w:iCs/>
          <w:szCs w:val="24"/>
        </w:rPr>
        <w:t>2019</w:t>
      </w:r>
      <w:r w:rsidRPr="0041354D">
        <w:rPr>
          <w:rFonts w:cs="Times New Roman"/>
          <w:szCs w:val="24"/>
        </w:rPr>
        <w:t>.</w:t>
      </w:r>
    </w:p>
    <w:p w14:paraId="7B6EDD75" w14:textId="77777777" w:rsidR="0041354D" w:rsidRPr="0041354D" w:rsidRDefault="0041354D" w:rsidP="0041354D">
      <w:pPr>
        <w:ind w:left="720" w:hanging="720"/>
        <w:rPr>
          <w:rFonts w:cs="Times New Roman"/>
          <w:szCs w:val="24"/>
        </w:rPr>
      </w:pPr>
      <w:bookmarkStart w:id="1" w:name="_Hlk67883983"/>
      <w:proofErr w:type="spellStart"/>
      <w:r w:rsidRPr="0041354D">
        <w:rPr>
          <w:rFonts w:cs="Times New Roman"/>
          <w:szCs w:val="24"/>
        </w:rPr>
        <w:t>Chéreau</w:t>
      </w:r>
      <w:proofErr w:type="spellEnd"/>
      <w:r w:rsidRPr="0041354D">
        <w:rPr>
          <w:rFonts w:cs="Times New Roman"/>
          <w:szCs w:val="24"/>
        </w:rPr>
        <w:t>,</w:t>
      </w:r>
      <w:bookmarkEnd w:id="1"/>
      <w:r w:rsidRPr="0041354D">
        <w:rPr>
          <w:rFonts w:cs="Times New Roman"/>
          <w:szCs w:val="24"/>
        </w:rPr>
        <w:t xml:space="preserve"> R., </w:t>
      </w:r>
      <w:proofErr w:type="spellStart"/>
      <w:r w:rsidRPr="0041354D">
        <w:rPr>
          <w:rFonts w:cs="Times New Roman"/>
          <w:szCs w:val="24"/>
        </w:rPr>
        <w:t>Saraceno</w:t>
      </w:r>
      <w:proofErr w:type="spellEnd"/>
      <w:r w:rsidRPr="0041354D">
        <w:rPr>
          <w:rFonts w:cs="Times New Roman"/>
          <w:szCs w:val="24"/>
        </w:rPr>
        <w:t xml:space="preserve">, G. E., </w:t>
      </w:r>
      <w:proofErr w:type="spellStart"/>
      <w:r w:rsidRPr="0041354D">
        <w:rPr>
          <w:rFonts w:cs="Times New Roman"/>
          <w:szCs w:val="24"/>
        </w:rPr>
        <w:t>Angibaud</w:t>
      </w:r>
      <w:proofErr w:type="spellEnd"/>
      <w:r w:rsidRPr="0041354D">
        <w:rPr>
          <w:rFonts w:cs="Times New Roman"/>
          <w:szCs w:val="24"/>
        </w:rPr>
        <w:t xml:space="preserve">, J., </w:t>
      </w:r>
      <w:proofErr w:type="spellStart"/>
      <w:r w:rsidRPr="0041354D">
        <w:rPr>
          <w:rFonts w:cs="Times New Roman"/>
          <w:szCs w:val="24"/>
        </w:rPr>
        <w:t>Cattaert</w:t>
      </w:r>
      <w:proofErr w:type="spellEnd"/>
      <w:r w:rsidRPr="0041354D">
        <w:rPr>
          <w:rFonts w:cs="Times New Roman"/>
          <w:szCs w:val="24"/>
        </w:rPr>
        <w:t xml:space="preserve">, D., &amp; </w:t>
      </w:r>
      <w:proofErr w:type="spellStart"/>
      <w:r w:rsidRPr="0041354D">
        <w:rPr>
          <w:rFonts w:cs="Times New Roman"/>
          <w:szCs w:val="24"/>
        </w:rPr>
        <w:t>Nägerl</w:t>
      </w:r>
      <w:proofErr w:type="spellEnd"/>
      <w:r w:rsidRPr="0041354D">
        <w:rPr>
          <w:rFonts w:cs="Times New Roman"/>
          <w:szCs w:val="24"/>
        </w:rPr>
        <w:t xml:space="preserve">, U. V. (2017). </w:t>
      </w:r>
      <w:proofErr w:type="spellStart"/>
      <w:r w:rsidRPr="0041354D">
        <w:rPr>
          <w:rFonts w:cs="Times New Roman"/>
          <w:szCs w:val="24"/>
        </w:rPr>
        <w:t>Superresolution</w:t>
      </w:r>
      <w:proofErr w:type="spellEnd"/>
      <w:r w:rsidRPr="0041354D">
        <w:rPr>
          <w:rFonts w:cs="Times New Roman"/>
          <w:szCs w:val="24"/>
        </w:rPr>
        <w:t xml:space="preserve"> imaging reveals activity-dependent plasticity of axon morphology linked to changes in action potential conduction velocity. </w:t>
      </w:r>
      <w:r w:rsidRPr="0041354D">
        <w:rPr>
          <w:rFonts w:cs="Times New Roman"/>
          <w:i/>
          <w:iCs/>
          <w:szCs w:val="24"/>
        </w:rPr>
        <w:t>Proceedings of the National Academy of Sciences</w:t>
      </w:r>
      <w:r w:rsidRPr="0041354D">
        <w:rPr>
          <w:rFonts w:cs="Times New Roman"/>
          <w:szCs w:val="24"/>
        </w:rPr>
        <w:t>, </w:t>
      </w:r>
      <w:r w:rsidRPr="0041354D">
        <w:rPr>
          <w:rFonts w:cs="Times New Roman"/>
          <w:i/>
          <w:iCs/>
          <w:szCs w:val="24"/>
        </w:rPr>
        <w:t>114</w:t>
      </w:r>
      <w:r w:rsidRPr="0041354D">
        <w:rPr>
          <w:rFonts w:cs="Times New Roman"/>
          <w:szCs w:val="24"/>
        </w:rPr>
        <w:t>(6), 1401-1406.</w:t>
      </w:r>
    </w:p>
    <w:p w14:paraId="6732BDA0" w14:textId="77777777" w:rsidR="0041354D" w:rsidRPr="0041354D" w:rsidRDefault="0041354D" w:rsidP="0041354D">
      <w:pPr>
        <w:ind w:left="720" w:hanging="720"/>
        <w:rPr>
          <w:rFonts w:cs="Times New Roman"/>
          <w:szCs w:val="24"/>
        </w:rPr>
      </w:pPr>
      <w:proofErr w:type="spellStart"/>
      <w:r w:rsidRPr="0041354D">
        <w:rPr>
          <w:rFonts w:cs="Times New Roman"/>
          <w:szCs w:val="24"/>
        </w:rPr>
        <w:t>Coenen</w:t>
      </w:r>
      <w:proofErr w:type="spellEnd"/>
      <w:r w:rsidRPr="0041354D">
        <w:rPr>
          <w:rFonts w:cs="Times New Roman"/>
          <w:szCs w:val="24"/>
        </w:rPr>
        <w:t xml:space="preserve">, V. A., </w:t>
      </w:r>
      <w:proofErr w:type="spellStart"/>
      <w:r w:rsidRPr="0041354D">
        <w:rPr>
          <w:rFonts w:cs="Times New Roman"/>
          <w:szCs w:val="24"/>
        </w:rPr>
        <w:t>Schlaepfer</w:t>
      </w:r>
      <w:proofErr w:type="spellEnd"/>
      <w:r w:rsidRPr="0041354D">
        <w:rPr>
          <w:rFonts w:cs="Times New Roman"/>
          <w:szCs w:val="24"/>
        </w:rPr>
        <w:t xml:space="preserve">, T. E., </w:t>
      </w:r>
      <w:proofErr w:type="spellStart"/>
      <w:r w:rsidRPr="0041354D">
        <w:rPr>
          <w:rFonts w:cs="Times New Roman"/>
          <w:szCs w:val="24"/>
        </w:rPr>
        <w:t>Goll</w:t>
      </w:r>
      <w:proofErr w:type="spellEnd"/>
      <w:r w:rsidRPr="0041354D">
        <w:rPr>
          <w:rFonts w:cs="Times New Roman"/>
          <w:szCs w:val="24"/>
        </w:rPr>
        <w:t xml:space="preserve">, P., </w:t>
      </w:r>
      <w:proofErr w:type="spellStart"/>
      <w:r w:rsidRPr="0041354D">
        <w:rPr>
          <w:rFonts w:cs="Times New Roman"/>
          <w:szCs w:val="24"/>
        </w:rPr>
        <w:t>Reinacher</w:t>
      </w:r>
      <w:proofErr w:type="spellEnd"/>
      <w:r w:rsidRPr="0041354D">
        <w:rPr>
          <w:rFonts w:cs="Times New Roman"/>
          <w:szCs w:val="24"/>
        </w:rPr>
        <w:t xml:space="preserve">, P. C., </w:t>
      </w:r>
      <w:proofErr w:type="spellStart"/>
      <w:r w:rsidRPr="0041354D">
        <w:rPr>
          <w:rFonts w:cs="Times New Roman"/>
          <w:szCs w:val="24"/>
        </w:rPr>
        <w:t>Voderholzer</w:t>
      </w:r>
      <w:proofErr w:type="spellEnd"/>
      <w:r w:rsidRPr="0041354D">
        <w:rPr>
          <w:rFonts w:cs="Times New Roman"/>
          <w:szCs w:val="24"/>
        </w:rPr>
        <w:t xml:space="preserve">, U., Van </w:t>
      </w:r>
      <w:proofErr w:type="spellStart"/>
      <w:r w:rsidRPr="0041354D">
        <w:rPr>
          <w:rFonts w:cs="Times New Roman"/>
          <w:szCs w:val="24"/>
        </w:rPr>
        <w:t>Elst</w:t>
      </w:r>
      <w:proofErr w:type="spellEnd"/>
      <w:r w:rsidRPr="0041354D">
        <w:rPr>
          <w:rFonts w:cs="Times New Roman"/>
          <w:szCs w:val="24"/>
        </w:rPr>
        <w:t xml:space="preserve">, L. T., ... &amp; </w:t>
      </w:r>
      <w:proofErr w:type="spellStart"/>
      <w:r w:rsidRPr="0041354D">
        <w:rPr>
          <w:rFonts w:cs="Times New Roman"/>
          <w:szCs w:val="24"/>
        </w:rPr>
        <w:t>Freyer</w:t>
      </w:r>
      <w:proofErr w:type="spellEnd"/>
      <w:r w:rsidRPr="0041354D">
        <w:rPr>
          <w:rFonts w:cs="Times New Roman"/>
          <w:szCs w:val="24"/>
        </w:rPr>
        <w:t>, T. (2017). The medial forebrain bundle as a target for deep brain stimulation for obsessive-compulsive disorder. </w:t>
      </w:r>
      <w:r w:rsidRPr="0041354D">
        <w:rPr>
          <w:rFonts w:cs="Times New Roman"/>
          <w:i/>
          <w:iCs/>
          <w:szCs w:val="24"/>
        </w:rPr>
        <w:t>CNS spectrums</w:t>
      </w:r>
      <w:r w:rsidRPr="0041354D">
        <w:rPr>
          <w:rFonts w:cs="Times New Roman"/>
          <w:szCs w:val="24"/>
        </w:rPr>
        <w:t>, </w:t>
      </w:r>
      <w:r w:rsidRPr="0041354D">
        <w:rPr>
          <w:rFonts w:cs="Times New Roman"/>
          <w:i/>
          <w:iCs/>
          <w:szCs w:val="24"/>
        </w:rPr>
        <w:t>22</w:t>
      </w:r>
      <w:r w:rsidRPr="0041354D">
        <w:rPr>
          <w:rFonts w:cs="Times New Roman"/>
          <w:szCs w:val="24"/>
        </w:rPr>
        <w:t>(3), 282-289.</w:t>
      </w:r>
    </w:p>
    <w:p w14:paraId="20A1812A" w14:textId="77777777" w:rsidR="0041354D" w:rsidRPr="0041354D" w:rsidRDefault="0041354D" w:rsidP="0041354D">
      <w:pPr>
        <w:ind w:left="720" w:hanging="720"/>
        <w:rPr>
          <w:rFonts w:cs="Times New Roman"/>
          <w:szCs w:val="24"/>
        </w:rPr>
      </w:pPr>
      <w:proofErr w:type="spellStart"/>
      <w:r w:rsidRPr="0041354D">
        <w:rPr>
          <w:rFonts w:cs="Times New Roman"/>
          <w:szCs w:val="24"/>
        </w:rPr>
        <w:t>Ebbesen</w:t>
      </w:r>
      <w:proofErr w:type="spellEnd"/>
      <w:r w:rsidRPr="0041354D">
        <w:rPr>
          <w:rFonts w:cs="Times New Roman"/>
          <w:szCs w:val="24"/>
        </w:rPr>
        <w:t>, C. L., &amp; Brecht, M. (2017). Motor cortex—to act or not to act?. </w:t>
      </w:r>
      <w:r w:rsidRPr="0041354D">
        <w:rPr>
          <w:rFonts w:cs="Times New Roman"/>
          <w:i/>
          <w:iCs/>
          <w:szCs w:val="24"/>
        </w:rPr>
        <w:t>Nature Reviews Neuroscience</w:t>
      </w:r>
      <w:r w:rsidRPr="0041354D">
        <w:rPr>
          <w:rFonts w:cs="Times New Roman"/>
          <w:szCs w:val="24"/>
        </w:rPr>
        <w:t>, </w:t>
      </w:r>
      <w:r w:rsidRPr="0041354D">
        <w:rPr>
          <w:rFonts w:cs="Times New Roman"/>
          <w:i/>
          <w:iCs/>
          <w:szCs w:val="24"/>
        </w:rPr>
        <w:t>18</w:t>
      </w:r>
      <w:r w:rsidRPr="0041354D">
        <w:rPr>
          <w:rFonts w:cs="Times New Roman"/>
          <w:szCs w:val="24"/>
        </w:rPr>
        <w:t>(11), 694-705.</w:t>
      </w:r>
    </w:p>
    <w:p w14:paraId="6EE4DA28" w14:textId="77777777" w:rsidR="0041354D" w:rsidRPr="0041354D" w:rsidRDefault="0041354D" w:rsidP="0041354D">
      <w:pPr>
        <w:ind w:left="720" w:hanging="720"/>
        <w:rPr>
          <w:rFonts w:cs="Times New Roman"/>
          <w:szCs w:val="24"/>
        </w:rPr>
      </w:pPr>
      <w:r w:rsidRPr="0041354D">
        <w:rPr>
          <w:rFonts w:cs="Times New Roman"/>
          <w:szCs w:val="24"/>
        </w:rPr>
        <w:t xml:space="preserve">García-Cabezas, M. Á., </w:t>
      </w:r>
      <w:proofErr w:type="spellStart"/>
      <w:r w:rsidRPr="0041354D">
        <w:rPr>
          <w:rFonts w:cs="Times New Roman"/>
          <w:szCs w:val="24"/>
        </w:rPr>
        <w:t>Zikopoulos</w:t>
      </w:r>
      <w:proofErr w:type="spellEnd"/>
      <w:r w:rsidRPr="0041354D">
        <w:rPr>
          <w:rFonts w:cs="Times New Roman"/>
          <w:szCs w:val="24"/>
        </w:rPr>
        <w:t xml:space="preserve">, B., &amp; </w:t>
      </w:r>
      <w:proofErr w:type="spellStart"/>
      <w:r w:rsidRPr="0041354D">
        <w:rPr>
          <w:rFonts w:cs="Times New Roman"/>
          <w:szCs w:val="24"/>
        </w:rPr>
        <w:t>Barbas</w:t>
      </w:r>
      <w:proofErr w:type="spellEnd"/>
      <w:r w:rsidRPr="0041354D">
        <w:rPr>
          <w:rFonts w:cs="Times New Roman"/>
          <w:szCs w:val="24"/>
        </w:rPr>
        <w:t>, H. (2019). The Structural Model: a theory linking connections, plasticity, pathology, development and evolution of the cerebral cortex. </w:t>
      </w:r>
      <w:r w:rsidRPr="0041354D">
        <w:rPr>
          <w:rFonts w:cs="Times New Roman"/>
          <w:i/>
          <w:iCs/>
          <w:szCs w:val="24"/>
        </w:rPr>
        <w:t>Brain Structure and Function</w:t>
      </w:r>
      <w:r w:rsidRPr="0041354D">
        <w:rPr>
          <w:rFonts w:cs="Times New Roman"/>
          <w:szCs w:val="24"/>
        </w:rPr>
        <w:t>, </w:t>
      </w:r>
      <w:r w:rsidRPr="0041354D">
        <w:rPr>
          <w:rFonts w:cs="Times New Roman"/>
          <w:i/>
          <w:iCs/>
          <w:szCs w:val="24"/>
        </w:rPr>
        <w:t>224</w:t>
      </w:r>
      <w:r w:rsidRPr="0041354D">
        <w:rPr>
          <w:rFonts w:cs="Times New Roman"/>
          <w:szCs w:val="24"/>
        </w:rPr>
        <w:t>(3), 985-1008.</w:t>
      </w:r>
    </w:p>
    <w:p w14:paraId="5C922FAF" w14:textId="77777777" w:rsidR="0041354D" w:rsidRPr="0041354D" w:rsidRDefault="0041354D" w:rsidP="0041354D">
      <w:pPr>
        <w:ind w:left="720" w:hanging="720"/>
        <w:rPr>
          <w:rFonts w:cs="Times New Roman"/>
          <w:szCs w:val="24"/>
        </w:rPr>
      </w:pPr>
      <w:proofErr w:type="spellStart"/>
      <w:r w:rsidRPr="0041354D">
        <w:rPr>
          <w:rFonts w:cs="Times New Roman"/>
          <w:szCs w:val="24"/>
        </w:rPr>
        <w:t>Kaas</w:t>
      </w:r>
      <w:proofErr w:type="spellEnd"/>
      <w:r w:rsidRPr="0041354D">
        <w:rPr>
          <w:rFonts w:cs="Times New Roman"/>
          <w:szCs w:val="24"/>
        </w:rPr>
        <w:t>, J. H., &amp; Baldwin, M. K. (2020). The evolution of the pulvinar complex in primates and its role in the dorsal and ventral streams of cortical processing. </w:t>
      </w:r>
      <w:r w:rsidRPr="0041354D">
        <w:rPr>
          <w:rFonts w:cs="Times New Roman"/>
          <w:i/>
          <w:iCs/>
          <w:szCs w:val="24"/>
        </w:rPr>
        <w:t>Vision</w:t>
      </w:r>
      <w:r w:rsidRPr="0041354D">
        <w:rPr>
          <w:rFonts w:cs="Times New Roman"/>
          <w:szCs w:val="24"/>
        </w:rPr>
        <w:t>, </w:t>
      </w:r>
      <w:r w:rsidRPr="0041354D">
        <w:rPr>
          <w:rFonts w:cs="Times New Roman"/>
          <w:i/>
          <w:iCs/>
          <w:szCs w:val="24"/>
        </w:rPr>
        <w:t>4</w:t>
      </w:r>
      <w:r w:rsidRPr="0041354D">
        <w:rPr>
          <w:rFonts w:cs="Times New Roman"/>
          <w:szCs w:val="24"/>
        </w:rPr>
        <w:t>(1), 3.</w:t>
      </w:r>
    </w:p>
    <w:p w14:paraId="6F3C2FDA" w14:textId="77777777" w:rsidR="0041354D" w:rsidRPr="0041354D" w:rsidRDefault="0041354D" w:rsidP="0041354D">
      <w:pPr>
        <w:ind w:left="720" w:hanging="720"/>
        <w:rPr>
          <w:rFonts w:cs="Times New Roman"/>
          <w:szCs w:val="24"/>
        </w:rPr>
      </w:pPr>
      <w:r w:rsidRPr="0041354D">
        <w:rPr>
          <w:rFonts w:cs="Times New Roman"/>
          <w:szCs w:val="24"/>
        </w:rPr>
        <w:lastRenderedPageBreak/>
        <w:t>Lindsay, G. W. (2020). Convolutional neural networks as a model of the visual system: past, present, and future. </w:t>
      </w:r>
      <w:r w:rsidRPr="0041354D">
        <w:rPr>
          <w:rFonts w:cs="Times New Roman"/>
          <w:i/>
          <w:iCs/>
          <w:szCs w:val="24"/>
        </w:rPr>
        <w:t>Journal of cognitive neuroscience</w:t>
      </w:r>
      <w:r w:rsidRPr="0041354D">
        <w:rPr>
          <w:rFonts w:cs="Times New Roman"/>
          <w:szCs w:val="24"/>
        </w:rPr>
        <w:t>, 1-15.</w:t>
      </w:r>
    </w:p>
    <w:p w14:paraId="7304B1E2" w14:textId="77777777" w:rsidR="0041354D" w:rsidRPr="0041354D" w:rsidRDefault="0041354D" w:rsidP="0041354D">
      <w:pPr>
        <w:ind w:left="720" w:hanging="720"/>
        <w:rPr>
          <w:rFonts w:cs="Times New Roman"/>
          <w:szCs w:val="24"/>
        </w:rPr>
      </w:pPr>
      <w:r w:rsidRPr="0041354D">
        <w:rPr>
          <w:rFonts w:cs="Times New Roman"/>
          <w:szCs w:val="24"/>
        </w:rPr>
        <w:t>Morgan, I. G., &amp; Rose, K. A. (2019). Myopia: is the nature</w:t>
      </w:r>
      <w:r w:rsidRPr="0041354D">
        <w:rPr>
          <w:rFonts w:ascii="Cambria Math" w:hAnsi="Cambria Math" w:cs="Cambria Math"/>
          <w:szCs w:val="24"/>
        </w:rPr>
        <w:t>‐</w:t>
      </w:r>
      <w:r w:rsidRPr="0041354D">
        <w:rPr>
          <w:rFonts w:cs="Times New Roman"/>
          <w:szCs w:val="24"/>
        </w:rPr>
        <w:t>nurture debate finally over?. </w:t>
      </w:r>
      <w:r w:rsidRPr="0041354D">
        <w:rPr>
          <w:rFonts w:cs="Times New Roman"/>
          <w:i/>
          <w:iCs/>
          <w:szCs w:val="24"/>
        </w:rPr>
        <w:t>Clinical and Experimental Optometry</w:t>
      </w:r>
      <w:r w:rsidRPr="0041354D">
        <w:rPr>
          <w:rFonts w:cs="Times New Roman"/>
          <w:szCs w:val="24"/>
        </w:rPr>
        <w:t>, </w:t>
      </w:r>
      <w:r w:rsidRPr="0041354D">
        <w:rPr>
          <w:rFonts w:cs="Times New Roman"/>
          <w:i/>
          <w:iCs/>
          <w:szCs w:val="24"/>
        </w:rPr>
        <w:t>102</w:t>
      </w:r>
      <w:r w:rsidRPr="0041354D">
        <w:rPr>
          <w:rFonts w:cs="Times New Roman"/>
          <w:szCs w:val="24"/>
        </w:rPr>
        <w:t>(1), 3-17.</w:t>
      </w:r>
    </w:p>
    <w:p w14:paraId="16291654" w14:textId="77777777" w:rsidR="0041354D" w:rsidRPr="0041354D" w:rsidRDefault="0041354D" w:rsidP="0041354D">
      <w:pPr>
        <w:ind w:left="720" w:hanging="720"/>
        <w:rPr>
          <w:rFonts w:cs="Times New Roman"/>
          <w:szCs w:val="24"/>
        </w:rPr>
      </w:pPr>
      <w:r w:rsidRPr="0041354D">
        <w:rPr>
          <w:rFonts w:cs="Times New Roman"/>
          <w:szCs w:val="24"/>
        </w:rPr>
        <w:t xml:space="preserve">Sarkar, C., </w:t>
      </w:r>
      <w:proofErr w:type="spellStart"/>
      <w:r w:rsidRPr="0041354D">
        <w:rPr>
          <w:rFonts w:cs="Times New Roman"/>
          <w:szCs w:val="24"/>
        </w:rPr>
        <w:t>Jamaddar</w:t>
      </w:r>
      <w:proofErr w:type="spellEnd"/>
      <w:r w:rsidRPr="0041354D">
        <w:rPr>
          <w:rFonts w:cs="Times New Roman"/>
          <w:szCs w:val="24"/>
        </w:rPr>
        <w:t xml:space="preserve">, S., </w:t>
      </w:r>
      <w:proofErr w:type="spellStart"/>
      <w:r w:rsidRPr="0041354D">
        <w:rPr>
          <w:rFonts w:cs="Times New Roman"/>
          <w:szCs w:val="24"/>
        </w:rPr>
        <w:t>Zulfiquar</w:t>
      </w:r>
      <w:proofErr w:type="spellEnd"/>
      <w:r w:rsidRPr="0041354D">
        <w:rPr>
          <w:rFonts w:cs="Times New Roman"/>
          <w:szCs w:val="24"/>
        </w:rPr>
        <w:t>, T. N., &amp; Mondal, M. (2020). Boon and Bane of Transgenic Animal: A Brief Review. </w:t>
      </w:r>
      <w:r w:rsidRPr="0041354D">
        <w:rPr>
          <w:rFonts w:cs="Times New Roman"/>
          <w:i/>
          <w:iCs/>
          <w:szCs w:val="24"/>
        </w:rPr>
        <w:t>Eur. J. Med. Health Sci</w:t>
      </w:r>
      <w:r w:rsidRPr="0041354D">
        <w:rPr>
          <w:rFonts w:cs="Times New Roman"/>
          <w:szCs w:val="24"/>
        </w:rPr>
        <w:t>, </w:t>
      </w:r>
      <w:r w:rsidRPr="0041354D">
        <w:rPr>
          <w:rFonts w:cs="Times New Roman"/>
          <w:i/>
          <w:iCs/>
          <w:szCs w:val="24"/>
        </w:rPr>
        <w:t>2</w:t>
      </w:r>
      <w:r w:rsidRPr="0041354D">
        <w:rPr>
          <w:rFonts w:cs="Times New Roman"/>
          <w:szCs w:val="24"/>
        </w:rPr>
        <w:t>(2), 21-27.</w:t>
      </w:r>
    </w:p>
    <w:sectPr w:rsidR="0041354D" w:rsidRPr="004135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86EB3" w14:textId="77777777" w:rsidR="004F1B0B" w:rsidRDefault="004F1B0B" w:rsidP="005859C5">
      <w:pPr>
        <w:spacing w:after="0" w:line="240" w:lineRule="auto"/>
      </w:pPr>
      <w:r>
        <w:separator/>
      </w:r>
    </w:p>
  </w:endnote>
  <w:endnote w:type="continuationSeparator" w:id="0">
    <w:p w14:paraId="565B1ACB" w14:textId="77777777" w:rsidR="004F1B0B" w:rsidRDefault="004F1B0B" w:rsidP="0058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7BC0D" w14:textId="77777777" w:rsidR="004F1B0B" w:rsidRDefault="004F1B0B" w:rsidP="005859C5">
      <w:pPr>
        <w:spacing w:after="0" w:line="240" w:lineRule="auto"/>
      </w:pPr>
      <w:r>
        <w:separator/>
      </w:r>
    </w:p>
  </w:footnote>
  <w:footnote w:type="continuationSeparator" w:id="0">
    <w:p w14:paraId="6EA42C70" w14:textId="77777777" w:rsidR="004F1B0B" w:rsidRDefault="004F1B0B" w:rsidP="0058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5318772"/>
      <w:docPartObj>
        <w:docPartGallery w:val="Page Numbers (Top of Page)"/>
        <w:docPartUnique/>
      </w:docPartObj>
    </w:sdtPr>
    <w:sdtEndPr>
      <w:rPr>
        <w:noProof/>
      </w:rPr>
    </w:sdtEndPr>
    <w:sdtContent>
      <w:p w14:paraId="54C4E661" w14:textId="0B5D7AF7" w:rsidR="00156CAD" w:rsidRDefault="00156C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A632AC" w14:textId="77777777" w:rsidR="00156CAD" w:rsidRDefault="00156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00078"/>
    <w:multiLevelType w:val="hybridMultilevel"/>
    <w:tmpl w:val="C0AE5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C5"/>
    <w:rsid w:val="00013CD3"/>
    <w:rsid w:val="00041556"/>
    <w:rsid w:val="000A4C96"/>
    <w:rsid w:val="000E1C5C"/>
    <w:rsid w:val="00156CAD"/>
    <w:rsid w:val="001A5B09"/>
    <w:rsid w:val="001C349E"/>
    <w:rsid w:val="002712E2"/>
    <w:rsid w:val="00307CBA"/>
    <w:rsid w:val="00316E4E"/>
    <w:rsid w:val="00355F66"/>
    <w:rsid w:val="00386CCD"/>
    <w:rsid w:val="003C35BD"/>
    <w:rsid w:val="0041354D"/>
    <w:rsid w:val="004B0CD2"/>
    <w:rsid w:val="004F1B0B"/>
    <w:rsid w:val="005807A6"/>
    <w:rsid w:val="005859C5"/>
    <w:rsid w:val="005A5234"/>
    <w:rsid w:val="005E17CB"/>
    <w:rsid w:val="00661538"/>
    <w:rsid w:val="006D4CC4"/>
    <w:rsid w:val="00792143"/>
    <w:rsid w:val="00801AC9"/>
    <w:rsid w:val="008240FA"/>
    <w:rsid w:val="00867DAD"/>
    <w:rsid w:val="00921CC0"/>
    <w:rsid w:val="00983BF7"/>
    <w:rsid w:val="0099295E"/>
    <w:rsid w:val="00A95EF2"/>
    <w:rsid w:val="00B20BD0"/>
    <w:rsid w:val="00C03D95"/>
    <w:rsid w:val="00CF1E7C"/>
    <w:rsid w:val="00DD71EE"/>
    <w:rsid w:val="00E16C2A"/>
    <w:rsid w:val="00E436A8"/>
    <w:rsid w:val="00EE3AA6"/>
    <w:rsid w:val="00F22CB0"/>
    <w:rsid w:val="00F32C98"/>
    <w:rsid w:val="00F5150D"/>
    <w:rsid w:val="00F6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48AD"/>
  <w15:chartTrackingRefBased/>
  <w15:docId w15:val="{A9CAF6E8-90CD-4CD3-B2EF-0A951626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ANNAH"/>
    <w:qFormat/>
    <w:rsid w:val="00307CBA"/>
    <w:pPr>
      <w:spacing w:after="40"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9C5"/>
    <w:rPr>
      <w:rFonts w:ascii="Times New Roman" w:hAnsi="Times New Roman"/>
      <w:sz w:val="24"/>
    </w:rPr>
  </w:style>
  <w:style w:type="paragraph" w:styleId="Footer">
    <w:name w:val="footer"/>
    <w:basedOn w:val="Normal"/>
    <w:link w:val="FooterChar"/>
    <w:uiPriority w:val="99"/>
    <w:unhideWhenUsed/>
    <w:rsid w:val="0058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9C5"/>
    <w:rPr>
      <w:rFonts w:ascii="Times New Roman" w:hAnsi="Times New Roman"/>
      <w:sz w:val="24"/>
    </w:rPr>
  </w:style>
  <w:style w:type="paragraph" w:styleId="ListParagraph">
    <w:name w:val="List Paragraph"/>
    <w:basedOn w:val="Normal"/>
    <w:uiPriority w:val="34"/>
    <w:qFormat/>
    <w:rsid w:val="00585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3077</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2021-03-29T02:15:00Z</dcterms:created>
  <dcterms:modified xsi:type="dcterms:W3CDTF">2021-03-29T02:15:00Z</dcterms:modified>
</cp:coreProperties>
</file>